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E6EBE" w14:textId="69104B3A" w:rsidR="00052741" w:rsidRDefault="00052741" w:rsidP="000D7A56">
      <w:pPr>
        <w:spacing w:after="240"/>
        <w:jc w:val="center"/>
        <w:rPr>
          <w:b/>
          <w:bCs/>
        </w:rPr>
      </w:pPr>
      <w:r>
        <w:rPr>
          <w:noProof/>
        </w:rPr>
        <w:drawing>
          <wp:inline distT="0" distB="0" distL="0" distR="0" wp14:anchorId="5168A45F" wp14:editId="3C762D9A">
            <wp:extent cx="3840480" cy="934681"/>
            <wp:effectExtent l="0" t="0" r="0" b="0"/>
            <wp:docPr id="549857034" name="Picture 1" descr="4C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C Healt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0480" cy="934681"/>
                    </a:xfrm>
                    <a:prstGeom prst="rect">
                      <a:avLst/>
                    </a:prstGeom>
                    <a:noFill/>
                    <a:ln>
                      <a:noFill/>
                    </a:ln>
                  </pic:spPr>
                </pic:pic>
              </a:graphicData>
            </a:graphic>
          </wp:inline>
        </w:drawing>
      </w:r>
    </w:p>
    <w:p w14:paraId="7DEA5A91" w14:textId="21B78A57" w:rsidR="00086CF6" w:rsidRPr="00D002DB" w:rsidRDefault="00086CF6" w:rsidP="000D7A56">
      <w:pPr>
        <w:spacing w:after="240"/>
        <w:jc w:val="center"/>
        <w:rPr>
          <w:b/>
          <w:bCs/>
          <w:sz w:val="28"/>
          <w:szCs w:val="24"/>
        </w:rPr>
      </w:pPr>
      <w:r w:rsidRPr="00D002DB">
        <w:rPr>
          <w:b/>
          <w:bCs/>
          <w:sz w:val="28"/>
          <w:szCs w:val="24"/>
        </w:rPr>
        <w:t>4C</w:t>
      </w:r>
      <w:r w:rsidR="00D002DB">
        <w:rPr>
          <w:b/>
          <w:bCs/>
          <w:sz w:val="28"/>
          <w:szCs w:val="24"/>
        </w:rPr>
        <w:t xml:space="preserve"> 2023</w:t>
      </w:r>
      <w:r w:rsidRPr="00D002DB">
        <w:rPr>
          <w:b/>
          <w:bCs/>
          <w:sz w:val="28"/>
          <w:szCs w:val="24"/>
        </w:rPr>
        <w:t xml:space="preserve"> CHNA</w:t>
      </w:r>
      <w:r w:rsidR="00D002DB">
        <w:rPr>
          <w:b/>
          <w:bCs/>
          <w:sz w:val="28"/>
          <w:szCs w:val="24"/>
        </w:rPr>
        <w:t xml:space="preserve"> </w:t>
      </w:r>
      <w:r w:rsidR="00387F34" w:rsidRPr="00D002DB">
        <w:rPr>
          <w:b/>
          <w:bCs/>
          <w:sz w:val="28"/>
          <w:szCs w:val="24"/>
        </w:rPr>
        <w:t>Addition</w:t>
      </w:r>
      <w:r w:rsidRPr="00D002DB">
        <w:rPr>
          <w:b/>
          <w:bCs/>
          <w:sz w:val="28"/>
          <w:szCs w:val="24"/>
        </w:rPr>
        <w:t xml:space="preserve"> – Howard County</w:t>
      </w:r>
    </w:p>
    <w:p w14:paraId="0B48FABB" w14:textId="18B5AF9F" w:rsidR="00D002DB" w:rsidRDefault="00387F34" w:rsidP="000D7A56">
      <w:pPr>
        <w:spacing w:after="240"/>
      </w:pPr>
      <w:r>
        <w:t xml:space="preserve">Located </w:t>
      </w:r>
      <w:r w:rsidR="00B7268F">
        <w:t>just north of the Indianapolis metro area</w:t>
      </w:r>
      <w:r>
        <w:t xml:space="preserve">, Howard County is home to a population of </w:t>
      </w:r>
      <w:r w:rsidR="00B7268F">
        <w:t>83,658</w:t>
      </w:r>
      <w:r>
        <w:t xml:space="preserve">. The county seat and largest city is Kokomo, where 4C Health operates a site at </w:t>
      </w:r>
      <w:r w:rsidRPr="00387F34">
        <w:t>1948 West Boulevard</w:t>
      </w:r>
      <w:r>
        <w:t xml:space="preserve">. </w:t>
      </w:r>
      <w:r w:rsidR="00B7268F">
        <w:t>One-quarter (25.66%) of the population resides in rural areas, whereas the remaining majority lives in urban areas.</w:t>
      </w:r>
      <w:r w:rsidR="00B7268F" w:rsidRPr="00B7268F">
        <w:t xml:space="preserve"> This blend of urban and rural areas presents both opportunities and challenges, further emphasizing the importance of organizations like 4C Health in bridging healthcare disparities and improving the overall well-being of residents across the county.</w:t>
      </w:r>
      <w:r w:rsidR="00D002DB">
        <w:t xml:space="preserve"> </w:t>
      </w:r>
      <w:r w:rsidR="00EE2CDE">
        <w:t>Manufacturing is a large industry in Howard County and n</w:t>
      </w:r>
      <w:r w:rsidR="00D002DB">
        <w:t>otabl</w:t>
      </w:r>
      <w:r w:rsidR="00EE2CDE">
        <w:t>e</w:t>
      </w:r>
      <w:r w:rsidR="00D002DB">
        <w:t xml:space="preserve"> employers in the area are </w:t>
      </w:r>
      <w:r w:rsidR="00EE2CDE">
        <w:t>Chrysler Indiana Transmission, BorgWarner, Haynes International Manufacturing, and GM Components Holdings</w:t>
      </w:r>
      <w:r w:rsidR="00D002DB">
        <w:t xml:space="preserve">. </w:t>
      </w:r>
    </w:p>
    <w:p w14:paraId="2CC2561F" w14:textId="05C3F7C1" w:rsidR="00387F34" w:rsidRPr="00D002DB" w:rsidRDefault="00D002DB" w:rsidP="000D7A56">
      <w:pPr>
        <w:spacing w:after="240"/>
        <w:rPr>
          <w:b/>
          <w:bCs/>
          <w:i/>
          <w:iCs/>
        </w:rPr>
      </w:pPr>
      <w:r>
        <w:rPr>
          <w:b/>
          <w:bCs/>
          <w:i/>
          <w:iCs/>
        </w:rPr>
        <w:t>Health Factors and Outcomes</w:t>
      </w:r>
    </w:p>
    <w:p w14:paraId="7F95740B" w14:textId="2845D384" w:rsidR="00B7268F" w:rsidRDefault="00B7268F" w:rsidP="000D7A56">
      <w:pPr>
        <w:spacing w:after="240"/>
      </w:pPr>
      <w:r w:rsidRPr="00B7268F">
        <w:t>Howard County's position at #79 out of 92 Indiana counties</w:t>
      </w:r>
      <w:r>
        <w:t>, based on health factors and outcomes,</w:t>
      </w:r>
      <w:r w:rsidRPr="00B7268F">
        <w:t xml:space="preserve"> underscores the pressing need for services from 4C Health Center. This county ranks among the least healthy in the state, with alarmingly high rates of smoking, obesity, alcohol-impaired driving deaths, unemployment, and injury. These concerning statistics paint a stark picture of the health challenges facing the community, which 4C Health is uniquely positioned to address. By offering high-quality, comprehensive healthcare services, 4C Health aims to directly confront these health factors and disparities</w:t>
      </w:r>
      <w:r>
        <w:t xml:space="preserve"> shown below</w:t>
      </w:r>
      <w:r w:rsidRPr="00B7268F">
        <w:t>, ultimately striving to uplift the well-being of Howard County residents and improve their overall quality of life.</w:t>
      </w:r>
    </w:p>
    <w:tbl>
      <w:tblPr>
        <w:tblStyle w:val="GridTable4-Accent6"/>
        <w:tblW w:w="0" w:type="auto"/>
        <w:tblLook w:val="04A0" w:firstRow="1" w:lastRow="0" w:firstColumn="1" w:lastColumn="0" w:noHBand="0" w:noVBand="1"/>
      </w:tblPr>
      <w:tblGrid>
        <w:gridCol w:w="4585"/>
        <w:gridCol w:w="1980"/>
        <w:gridCol w:w="1170"/>
        <w:gridCol w:w="1615"/>
      </w:tblGrid>
      <w:tr w:rsidR="00387F34" w14:paraId="24C12F46" w14:textId="77777777" w:rsidTr="00B726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7159CF06" w14:textId="10FDD1DD" w:rsidR="00387F34" w:rsidRDefault="00D002DB" w:rsidP="000D7A56">
            <w:r>
              <w:t>Health Factors</w:t>
            </w:r>
          </w:p>
        </w:tc>
        <w:tc>
          <w:tcPr>
            <w:tcW w:w="1980" w:type="dxa"/>
          </w:tcPr>
          <w:p w14:paraId="1D680DEC" w14:textId="060031A4" w:rsidR="00387F34" w:rsidRPr="00B7268F" w:rsidRDefault="00387F34" w:rsidP="000D7A56">
            <w:pPr>
              <w:cnfStyle w:val="100000000000" w:firstRow="1" w:lastRow="0" w:firstColumn="0" w:lastColumn="0" w:oddVBand="0" w:evenVBand="0" w:oddHBand="0" w:evenHBand="0" w:firstRowFirstColumn="0" w:firstRowLastColumn="0" w:lastRowFirstColumn="0" w:lastRowLastColumn="0"/>
            </w:pPr>
            <w:r w:rsidRPr="00B7268F">
              <w:t>Howard County</w:t>
            </w:r>
          </w:p>
        </w:tc>
        <w:tc>
          <w:tcPr>
            <w:tcW w:w="1170" w:type="dxa"/>
          </w:tcPr>
          <w:p w14:paraId="3BEACA36" w14:textId="5D127863" w:rsidR="00387F34" w:rsidRPr="00B7268F" w:rsidRDefault="00387F34" w:rsidP="000D7A56">
            <w:pPr>
              <w:cnfStyle w:val="100000000000" w:firstRow="1" w:lastRow="0" w:firstColumn="0" w:lastColumn="0" w:oddVBand="0" w:evenVBand="0" w:oddHBand="0" w:evenHBand="0" w:firstRowFirstColumn="0" w:firstRowLastColumn="0" w:lastRowFirstColumn="0" w:lastRowLastColumn="0"/>
            </w:pPr>
            <w:r w:rsidRPr="00B7268F">
              <w:t>Indiana</w:t>
            </w:r>
          </w:p>
        </w:tc>
        <w:tc>
          <w:tcPr>
            <w:tcW w:w="1615" w:type="dxa"/>
          </w:tcPr>
          <w:p w14:paraId="395C4B4A" w14:textId="418FF359" w:rsidR="00387F34" w:rsidRPr="00B7268F" w:rsidRDefault="00387F34" w:rsidP="000D7A56">
            <w:pPr>
              <w:cnfStyle w:val="100000000000" w:firstRow="1" w:lastRow="0" w:firstColumn="0" w:lastColumn="0" w:oddVBand="0" w:evenVBand="0" w:oddHBand="0" w:evenHBand="0" w:firstRowFirstColumn="0" w:firstRowLastColumn="0" w:lastRowFirstColumn="0" w:lastRowLastColumn="0"/>
            </w:pPr>
            <w:r w:rsidRPr="00B7268F">
              <w:t>United States</w:t>
            </w:r>
          </w:p>
        </w:tc>
      </w:tr>
      <w:tr w:rsidR="00387F34" w14:paraId="799F2D93" w14:textId="77777777" w:rsidTr="00B72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223F5EA8" w14:textId="520E408E" w:rsidR="00387F34" w:rsidRPr="00B7268F" w:rsidRDefault="00387F34" w:rsidP="000D7A56">
            <w:r w:rsidRPr="00B7268F">
              <w:t>Social Vulnerability Index</w:t>
            </w:r>
          </w:p>
        </w:tc>
        <w:tc>
          <w:tcPr>
            <w:tcW w:w="1980" w:type="dxa"/>
          </w:tcPr>
          <w:p w14:paraId="741F1EC8" w14:textId="10C066A5" w:rsidR="00387F34" w:rsidRDefault="00387F34" w:rsidP="000D7A56">
            <w:pPr>
              <w:cnfStyle w:val="000000100000" w:firstRow="0" w:lastRow="0" w:firstColumn="0" w:lastColumn="0" w:oddVBand="0" w:evenVBand="0" w:oddHBand="1" w:evenHBand="0" w:firstRowFirstColumn="0" w:firstRowLastColumn="0" w:lastRowFirstColumn="0" w:lastRowLastColumn="0"/>
            </w:pPr>
            <w:r>
              <w:t>0.38</w:t>
            </w:r>
          </w:p>
        </w:tc>
        <w:tc>
          <w:tcPr>
            <w:tcW w:w="1170" w:type="dxa"/>
          </w:tcPr>
          <w:p w14:paraId="68ECD0FF" w14:textId="60A7D64C" w:rsidR="00387F34" w:rsidRDefault="00387F34" w:rsidP="000D7A56">
            <w:pPr>
              <w:cnfStyle w:val="000000100000" w:firstRow="0" w:lastRow="0" w:firstColumn="0" w:lastColumn="0" w:oddVBand="0" w:evenVBand="0" w:oddHBand="1" w:evenHBand="0" w:firstRowFirstColumn="0" w:firstRowLastColumn="0" w:lastRowFirstColumn="0" w:lastRowLastColumn="0"/>
            </w:pPr>
            <w:r>
              <w:t>0.46</w:t>
            </w:r>
          </w:p>
        </w:tc>
        <w:tc>
          <w:tcPr>
            <w:tcW w:w="1615" w:type="dxa"/>
          </w:tcPr>
          <w:p w14:paraId="601AA7AB" w14:textId="0C1DBCDE" w:rsidR="00387F34" w:rsidRDefault="00387F34" w:rsidP="000D7A56">
            <w:pPr>
              <w:cnfStyle w:val="000000100000" w:firstRow="0" w:lastRow="0" w:firstColumn="0" w:lastColumn="0" w:oddVBand="0" w:evenVBand="0" w:oddHBand="1" w:evenHBand="0" w:firstRowFirstColumn="0" w:firstRowLastColumn="0" w:lastRowFirstColumn="0" w:lastRowLastColumn="0"/>
            </w:pPr>
            <w:r>
              <w:t>0.58</w:t>
            </w:r>
          </w:p>
        </w:tc>
      </w:tr>
      <w:tr w:rsidR="00387F34" w14:paraId="73463330" w14:textId="77777777" w:rsidTr="00B7268F">
        <w:tc>
          <w:tcPr>
            <w:cnfStyle w:val="001000000000" w:firstRow="0" w:lastRow="0" w:firstColumn="1" w:lastColumn="0" w:oddVBand="0" w:evenVBand="0" w:oddHBand="0" w:evenHBand="0" w:firstRowFirstColumn="0" w:firstRowLastColumn="0" w:lastRowFirstColumn="0" w:lastRowLastColumn="0"/>
            <w:tcW w:w="4585" w:type="dxa"/>
          </w:tcPr>
          <w:p w14:paraId="6AA4542A" w14:textId="2E8B5517" w:rsidR="00387F34" w:rsidRPr="00B7268F" w:rsidRDefault="00387F34" w:rsidP="000D7A56">
            <w:r w:rsidRPr="00B7268F">
              <w:t>Households with No Motor Vehicle</w:t>
            </w:r>
          </w:p>
        </w:tc>
        <w:tc>
          <w:tcPr>
            <w:tcW w:w="1980" w:type="dxa"/>
          </w:tcPr>
          <w:p w14:paraId="3D3DC186" w14:textId="341243AB" w:rsidR="00387F34" w:rsidRDefault="00387F34" w:rsidP="000D7A56">
            <w:pPr>
              <w:cnfStyle w:val="000000000000" w:firstRow="0" w:lastRow="0" w:firstColumn="0" w:lastColumn="0" w:oddVBand="0" w:evenVBand="0" w:oddHBand="0" w:evenHBand="0" w:firstRowFirstColumn="0" w:firstRowLastColumn="0" w:lastRowFirstColumn="0" w:lastRowLastColumn="0"/>
            </w:pPr>
            <w:r>
              <w:t>5.56%</w:t>
            </w:r>
          </w:p>
        </w:tc>
        <w:tc>
          <w:tcPr>
            <w:tcW w:w="1170" w:type="dxa"/>
          </w:tcPr>
          <w:p w14:paraId="05360B99" w14:textId="0D660602" w:rsidR="00387F34" w:rsidRDefault="00387F34" w:rsidP="000D7A56">
            <w:pPr>
              <w:cnfStyle w:val="000000000000" w:firstRow="0" w:lastRow="0" w:firstColumn="0" w:lastColumn="0" w:oddVBand="0" w:evenVBand="0" w:oddHBand="0" w:evenHBand="0" w:firstRowFirstColumn="0" w:firstRowLastColumn="0" w:lastRowFirstColumn="0" w:lastRowLastColumn="0"/>
            </w:pPr>
            <w:r>
              <w:t>6.26%</w:t>
            </w:r>
          </w:p>
        </w:tc>
        <w:tc>
          <w:tcPr>
            <w:tcW w:w="1615" w:type="dxa"/>
          </w:tcPr>
          <w:p w14:paraId="05679EDD" w14:textId="383DBE4F" w:rsidR="00387F34" w:rsidRDefault="00387F34" w:rsidP="000D7A56">
            <w:pPr>
              <w:cnfStyle w:val="000000000000" w:firstRow="0" w:lastRow="0" w:firstColumn="0" w:lastColumn="0" w:oddVBand="0" w:evenVBand="0" w:oddHBand="0" w:evenHBand="0" w:firstRowFirstColumn="0" w:firstRowLastColumn="0" w:lastRowFirstColumn="0" w:lastRowLastColumn="0"/>
            </w:pPr>
            <w:r>
              <w:t>8.45%</w:t>
            </w:r>
          </w:p>
        </w:tc>
      </w:tr>
      <w:tr w:rsidR="00387F34" w14:paraId="52C92771" w14:textId="77777777" w:rsidTr="00B72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6726AD66" w14:textId="39D8F30D" w:rsidR="00387F34" w:rsidRPr="00B7268F" w:rsidRDefault="00387F34" w:rsidP="000D7A56">
            <w:r w:rsidRPr="00B7268F">
              <w:t>Population 5+ with Limited English Proficiency</w:t>
            </w:r>
          </w:p>
        </w:tc>
        <w:tc>
          <w:tcPr>
            <w:tcW w:w="1980" w:type="dxa"/>
          </w:tcPr>
          <w:p w14:paraId="51D710B9" w14:textId="07A0494B" w:rsidR="00387F34" w:rsidRDefault="00387F34" w:rsidP="000D7A56">
            <w:pPr>
              <w:cnfStyle w:val="000000100000" w:firstRow="0" w:lastRow="0" w:firstColumn="0" w:lastColumn="0" w:oddVBand="0" w:evenVBand="0" w:oddHBand="1" w:evenHBand="0" w:firstRowFirstColumn="0" w:firstRowLastColumn="0" w:lastRowFirstColumn="0" w:lastRowLastColumn="0"/>
            </w:pPr>
            <w:r>
              <w:t>1.00%</w:t>
            </w:r>
          </w:p>
        </w:tc>
        <w:tc>
          <w:tcPr>
            <w:tcW w:w="1170" w:type="dxa"/>
          </w:tcPr>
          <w:p w14:paraId="42A96DE9" w14:textId="1437837F" w:rsidR="00387F34" w:rsidRDefault="00387F34" w:rsidP="000D7A56">
            <w:pPr>
              <w:cnfStyle w:val="000000100000" w:firstRow="0" w:lastRow="0" w:firstColumn="0" w:lastColumn="0" w:oddVBand="0" w:evenVBand="0" w:oddHBand="1" w:evenHBand="0" w:firstRowFirstColumn="0" w:firstRowLastColumn="0" w:lastRowFirstColumn="0" w:lastRowLastColumn="0"/>
            </w:pPr>
            <w:r>
              <w:t>3.18%</w:t>
            </w:r>
          </w:p>
        </w:tc>
        <w:tc>
          <w:tcPr>
            <w:tcW w:w="1615" w:type="dxa"/>
          </w:tcPr>
          <w:p w14:paraId="78EA6247" w14:textId="7623262F" w:rsidR="00387F34" w:rsidRDefault="00387F34" w:rsidP="000D7A56">
            <w:pPr>
              <w:cnfStyle w:val="000000100000" w:firstRow="0" w:lastRow="0" w:firstColumn="0" w:lastColumn="0" w:oddVBand="0" w:evenVBand="0" w:oddHBand="1" w:evenHBand="0" w:firstRowFirstColumn="0" w:firstRowLastColumn="0" w:lastRowFirstColumn="0" w:lastRowLastColumn="0"/>
            </w:pPr>
            <w:r>
              <w:t>8.25%</w:t>
            </w:r>
          </w:p>
        </w:tc>
      </w:tr>
      <w:tr w:rsidR="00387F34" w14:paraId="1A8B81DA" w14:textId="77777777" w:rsidTr="00B7268F">
        <w:tc>
          <w:tcPr>
            <w:cnfStyle w:val="001000000000" w:firstRow="0" w:lastRow="0" w:firstColumn="1" w:lastColumn="0" w:oddVBand="0" w:evenVBand="0" w:oddHBand="0" w:evenHBand="0" w:firstRowFirstColumn="0" w:firstRowLastColumn="0" w:lastRowFirstColumn="0" w:lastRowLastColumn="0"/>
            <w:tcW w:w="4585" w:type="dxa"/>
          </w:tcPr>
          <w:p w14:paraId="09FAF864" w14:textId="42DB35A7" w:rsidR="00387F34" w:rsidRPr="00B7268F" w:rsidRDefault="00387F34" w:rsidP="000D7A56">
            <w:r w:rsidRPr="00B7268F">
              <w:t>Housing Cost Burden (30%)</w:t>
            </w:r>
          </w:p>
        </w:tc>
        <w:tc>
          <w:tcPr>
            <w:tcW w:w="1980" w:type="dxa"/>
          </w:tcPr>
          <w:p w14:paraId="7C17BBBD" w14:textId="230991CE" w:rsidR="00387F34" w:rsidRDefault="00387F34" w:rsidP="000D7A56">
            <w:pPr>
              <w:cnfStyle w:val="000000000000" w:firstRow="0" w:lastRow="0" w:firstColumn="0" w:lastColumn="0" w:oddVBand="0" w:evenVBand="0" w:oddHBand="0" w:evenHBand="0" w:firstRowFirstColumn="0" w:firstRowLastColumn="0" w:lastRowFirstColumn="0" w:lastRowLastColumn="0"/>
            </w:pPr>
            <w:r>
              <w:t>19.85%.</w:t>
            </w:r>
          </w:p>
        </w:tc>
        <w:tc>
          <w:tcPr>
            <w:tcW w:w="1170" w:type="dxa"/>
          </w:tcPr>
          <w:p w14:paraId="358A3055" w14:textId="7803F1CE" w:rsidR="00387F34" w:rsidRDefault="00387F34" w:rsidP="000D7A56">
            <w:pPr>
              <w:cnfStyle w:val="000000000000" w:firstRow="0" w:lastRow="0" w:firstColumn="0" w:lastColumn="0" w:oddVBand="0" w:evenVBand="0" w:oddHBand="0" w:evenHBand="0" w:firstRowFirstColumn="0" w:firstRowLastColumn="0" w:lastRowFirstColumn="0" w:lastRowLastColumn="0"/>
            </w:pPr>
            <w:r>
              <w:t>23.71%</w:t>
            </w:r>
          </w:p>
        </w:tc>
        <w:tc>
          <w:tcPr>
            <w:tcW w:w="1615" w:type="dxa"/>
          </w:tcPr>
          <w:p w14:paraId="116CEB4C" w14:textId="6FADA0B5" w:rsidR="00387F34" w:rsidRDefault="00387F34" w:rsidP="000D7A56">
            <w:pPr>
              <w:cnfStyle w:val="000000000000" w:firstRow="0" w:lastRow="0" w:firstColumn="0" w:lastColumn="0" w:oddVBand="0" w:evenVBand="0" w:oddHBand="0" w:evenHBand="0" w:firstRowFirstColumn="0" w:firstRowLastColumn="0" w:lastRowFirstColumn="0" w:lastRowLastColumn="0"/>
            </w:pPr>
            <w:r>
              <w:t>30.34%</w:t>
            </w:r>
          </w:p>
        </w:tc>
      </w:tr>
      <w:tr w:rsidR="00387F34" w14:paraId="77684B76" w14:textId="77777777" w:rsidTr="00B72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7501475B" w14:textId="7A71D9DE" w:rsidR="00387F34" w:rsidRPr="00B7268F" w:rsidRDefault="00387F34" w:rsidP="000D7A56">
            <w:r w:rsidRPr="00B7268F">
              <w:t>Substandard Housing</w:t>
            </w:r>
          </w:p>
        </w:tc>
        <w:tc>
          <w:tcPr>
            <w:tcW w:w="1980" w:type="dxa"/>
          </w:tcPr>
          <w:p w14:paraId="4D1B72FB" w14:textId="7785FFA2" w:rsidR="00387F34" w:rsidRDefault="00387F34" w:rsidP="000D7A56">
            <w:pPr>
              <w:cnfStyle w:val="000000100000" w:firstRow="0" w:lastRow="0" w:firstColumn="0" w:lastColumn="0" w:oddVBand="0" w:evenVBand="0" w:oddHBand="1" w:evenHBand="0" w:firstRowFirstColumn="0" w:firstRowLastColumn="0" w:lastRowFirstColumn="0" w:lastRowLastColumn="0"/>
            </w:pPr>
            <w:r w:rsidRPr="00387F34">
              <w:t>19.14%</w:t>
            </w:r>
          </w:p>
        </w:tc>
        <w:tc>
          <w:tcPr>
            <w:tcW w:w="1170" w:type="dxa"/>
          </w:tcPr>
          <w:p w14:paraId="3116EA04" w14:textId="087EED51" w:rsidR="00387F34" w:rsidRDefault="00387F34" w:rsidP="000D7A56">
            <w:pPr>
              <w:cnfStyle w:val="000000100000" w:firstRow="0" w:lastRow="0" w:firstColumn="0" w:lastColumn="0" w:oddVBand="0" w:evenVBand="0" w:oddHBand="1" w:evenHBand="0" w:firstRowFirstColumn="0" w:firstRowLastColumn="0" w:lastRowFirstColumn="0" w:lastRowLastColumn="0"/>
            </w:pPr>
            <w:r>
              <w:t>24.10%</w:t>
            </w:r>
          </w:p>
        </w:tc>
        <w:tc>
          <w:tcPr>
            <w:tcW w:w="1615" w:type="dxa"/>
          </w:tcPr>
          <w:p w14:paraId="571C6555" w14:textId="068F0042" w:rsidR="00387F34" w:rsidRDefault="00387F34" w:rsidP="000D7A56">
            <w:pPr>
              <w:cnfStyle w:val="000000100000" w:firstRow="0" w:lastRow="0" w:firstColumn="0" w:lastColumn="0" w:oddVBand="0" w:evenVBand="0" w:oddHBand="1" w:evenHBand="0" w:firstRowFirstColumn="0" w:firstRowLastColumn="0" w:lastRowFirstColumn="0" w:lastRowLastColumn="0"/>
            </w:pPr>
            <w:r>
              <w:t>31.49%</w:t>
            </w:r>
          </w:p>
        </w:tc>
      </w:tr>
      <w:tr w:rsidR="00387F34" w14:paraId="06E0F591" w14:textId="77777777" w:rsidTr="00B7268F">
        <w:tc>
          <w:tcPr>
            <w:cnfStyle w:val="001000000000" w:firstRow="0" w:lastRow="0" w:firstColumn="1" w:lastColumn="0" w:oddVBand="0" w:evenVBand="0" w:oddHBand="0" w:evenHBand="0" w:firstRowFirstColumn="0" w:firstRowLastColumn="0" w:lastRowFirstColumn="0" w:lastRowLastColumn="0"/>
            <w:tcW w:w="4585" w:type="dxa"/>
          </w:tcPr>
          <w:p w14:paraId="7723E90C" w14:textId="32D66992" w:rsidR="00387F34" w:rsidRPr="00B7268F" w:rsidRDefault="00387F34" w:rsidP="000D7A56">
            <w:r w:rsidRPr="00B7268F">
              <w:t>Unemployment</w:t>
            </w:r>
          </w:p>
        </w:tc>
        <w:tc>
          <w:tcPr>
            <w:tcW w:w="1980" w:type="dxa"/>
          </w:tcPr>
          <w:p w14:paraId="37B062E0" w14:textId="5CF71317" w:rsidR="00387F34" w:rsidRDefault="00387F34" w:rsidP="000D7A56">
            <w:pPr>
              <w:cnfStyle w:val="000000000000" w:firstRow="0" w:lastRow="0" w:firstColumn="0" w:lastColumn="0" w:oddVBand="0" w:evenVBand="0" w:oddHBand="0" w:evenHBand="0" w:firstRowFirstColumn="0" w:firstRowLastColumn="0" w:lastRowFirstColumn="0" w:lastRowLastColumn="0"/>
            </w:pPr>
            <w:r>
              <w:t>4.40%</w:t>
            </w:r>
          </w:p>
        </w:tc>
        <w:tc>
          <w:tcPr>
            <w:tcW w:w="1170" w:type="dxa"/>
          </w:tcPr>
          <w:p w14:paraId="04CE0C69" w14:textId="2080BD99" w:rsidR="00387F34" w:rsidRDefault="00387F34" w:rsidP="000D7A56">
            <w:pPr>
              <w:cnfStyle w:val="000000000000" w:firstRow="0" w:lastRow="0" w:firstColumn="0" w:lastColumn="0" w:oddVBand="0" w:evenVBand="0" w:oddHBand="0" w:evenHBand="0" w:firstRowFirstColumn="0" w:firstRowLastColumn="0" w:lastRowFirstColumn="0" w:lastRowLastColumn="0"/>
            </w:pPr>
            <w:r>
              <w:t>2.60%</w:t>
            </w:r>
          </w:p>
        </w:tc>
        <w:tc>
          <w:tcPr>
            <w:tcW w:w="1615" w:type="dxa"/>
          </w:tcPr>
          <w:p w14:paraId="6FBED43C" w14:textId="7D2CBA9E" w:rsidR="00387F34" w:rsidRDefault="00387F34" w:rsidP="000D7A56">
            <w:pPr>
              <w:cnfStyle w:val="000000000000" w:firstRow="0" w:lastRow="0" w:firstColumn="0" w:lastColumn="0" w:oddVBand="0" w:evenVBand="0" w:oddHBand="0" w:evenHBand="0" w:firstRowFirstColumn="0" w:firstRowLastColumn="0" w:lastRowFirstColumn="0" w:lastRowLastColumn="0"/>
            </w:pPr>
            <w:r>
              <w:t>3.10%</w:t>
            </w:r>
          </w:p>
        </w:tc>
      </w:tr>
      <w:tr w:rsidR="00387F34" w14:paraId="697443E7" w14:textId="77777777" w:rsidTr="00B72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7F396136" w14:textId="383C1013" w:rsidR="00387F34" w:rsidRPr="00B7268F" w:rsidRDefault="00387F34" w:rsidP="000D7A56">
            <w:r w:rsidRPr="00B7268F">
              <w:t>Uninsured</w:t>
            </w:r>
          </w:p>
        </w:tc>
        <w:tc>
          <w:tcPr>
            <w:tcW w:w="1980" w:type="dxa"/>
          </w:tcPr>
          <w:p w14:paraId="575354E5" w14:textId="33DAD4DA" w:rsidR="00387F34" w:rsidRDefault="00387F34" w:rsidP="000D7A56">
            <w:pPr>
              <w:cnfStyle w:val="000000100000" w:firstRow="0" w:lastRow="0" w:firstColumn="0" w:lastColumn="0" w:oddVBand="0" w:evenVBand="0" w:oddHBand="1" w:evenHBand="0" w:firstRowFirstColumn="0" w:firstRowLastColumn="0" w:lastRowFirstColumn="0" w:lastRowLastColumn="0"/>
            </w:pPr>
            <w:r>
              <w:t>6.69%</w:t>
            </w:r>
          </w:p>
        </w:tc>
        <w:tc>
          <w:tcPr>
            <w:tcW w:w="1170" w:type="dxa"/>
          </w:tcPr>
          <w:p w14:paraId="32ECADD5" w14:textId="6E595AC9" w:rsidR="00387F34" w:rsidRDefault="00387F34" w:rsidP="000D7A56">
            <w:pPr>
              <w:cnfStyle w:val="000000100000" w:firstRow="0" w:lastRow="0" w:firstColumn="0" w:lastColumn="0" w:oddVBand="0" w:evenVBand="0" w:oddHBand="1" w:evenHBand="0" w:firstRowFirstColumn="0" w:firstRowLastColumn="0" w:lastRowFirstColumn="0" w:lastRowLastColumn="0"/>
            </w:pPr>
            <w:r>
              <w:t>7.97%</w:t>
            </w:r>
          </w:p>
        </w:tc>
        <w:tc>
          <w:tcPr>
            <w:tcW w:w="1615" w:type="dxa"/>
          </w:tcPr>
          <w:p w14:paraId="3CD599A6" w14:textId="7301A10B" w:rsidR="00387F34" w:rsidRDefault="00387F34" w:rsidP="000D7A56">
            <w:pPr>
              <w:cnfStyle w:val="000000100000" w:firstRow="0" w:lastRow="0" w:firstColumn="0" w:lastColumn="0" w:oddVBand="0" w:evenVBand="0" w:oddHBand="1" w:evenHBand="0" w:firstRowFirstColumn="0" w:firstRowLastColumn="0" w:lastRowFirstColumn="0" w:lastRowLastColumn="0"/>
            </w:pPr>
            <w:r>
              <w:t>8.77%</w:t>
            </w:r>
          </w:p>
        </w:tc>
      </w:tr>
      <w:tr w:rsidR="00387F34" w14:paraId="35E4B4F2" w14:textId="77777777" w:rsidTr="00B7268F">
        <w:tc>
          <w:tcPr>
            <w:cnfStyle w:val="001000000000" w:firstRow="0" w:lastRow="0" w:firstColumn="1" w:lastColumn="0" w:oddVBand="0" w:evenVBand="0" w:oddHBand="0" w:evenHBand="0" w:firstRowFirstColumn="0" w:firstRowLastColumn="0" w:lastRowFirstColumn="0" w:lastRowLastColumn="0"/>
            <w:tcW w:w="4585" w:type="dxa"/>
          </w:tcPr>
          <w:p w14:paraId="1017FCC9" w14:textId="358948E7" w:rsidR="00387F34" w:rsidRPr="00B7268F" w:rsidRDefault="00387F34" w:rsidP="000D7A56">
            <w:r w:rsidRPr="00B7268F">
              <w:t>Population below 100% of the FPL</w:t>
            </w:r>
          </w:p>
        </w:tc>
        <w:tc>
          <w:tcPr>
            <w:tcW w:w="1980" w:type="dxa"/>
          </w:tcPr>
          <w:p w14:paraId="03496B03" w14:textId="1B9E9325" w:rsidR="00387F34" w:rsidRDefault="00B7268F" w:rsidP="000D7A56">
            <w:pPr>
              <w:cnfStyle w:val="000000000000" w:firstRow="0" w:lastRow="0" w:firstColumn="0" w:lastColumn="0" w:oddVBand="0" w:evenVBand="0" w:oddHBand="0" w:evenHBand="0" w:firstRowFirstColumn="0" w:firstRowLastColumn="0" w:lastRowFirstColumn="0" w:lastRowLastColumn="0"/>
            </w:pPr>
            <w:r>
              <w:t>11.63%</w:t>
            </w:r>
          </w:p>
        </w:tc>
        <w:tc>
          <w:tcPr>
            <w:tcW w:w="1170" w:type="dxa"/>
          </w:tcPr>
          <w:p w14:paraId="329B0A36" w14:textId="71465ED8" w:rsidR="00387F34" w:rsidRDefault="00B7268F" w:rsidP="000D7A56">
            <w:pPr>
              <w:cnfStyle w:val="000000000000" w:firstRow="0" w:lastRow="0" w:firstColumn="0" w:lastColumn="0" w:oddVBand="0" w:evenVBand="0" w:oddHBand="0" w:evenHBand="0" w:firstRowFirstColumn="0" w:firstRowLastColumn="0" w:lastRowFirstColumn="0" w:lastRowLastColumn="0"/>
            </w:pPr>
            <w:r>
              <w:t>12.50%</w:t>
            </w:r>
          </w:p>
        </w:tc>
        <w:tc>
          <w:tcPr>
            <w:tcW w:w="1615" w:type="dxa"/>
          </w:tcPr>
          <w:p w14:paraId="00E39556" w14:textId="6EDA5161" w:rsidR="00387F34" w:rsidRDefault="00B7268F" w:rsidP="000D7A56">
            <w:pPr>
              <w:cnfStyle w:val="000000000000" w:firstRow="0" w:lastRow="0" w:firstColumn="0" w:lastColumn="0" w:oddVBand="0" w:evenVBand="0" w:oddHBand="0" w:evenHBand="0" w:firstRowFirstColumn="0" w:firstRowLastColumn="0" w:lastRowFirstColumn="0" w:lastRowLastColumn="0"/>
            </w:pPr>
            <w:r>
              <w:t>12.63%</w:t>
            </w:r>
          </w:p>
        </w:tc>
      </w:tr>
      <w:tr w:rsidR="00387F34" w14:paraId="20632C2B" w14:textId="77777777" w:rsidTr="00B72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51E96DD5" w14:textId="2AA5DD2B" w:rsidR="00387F34" w:rsidRPr="00B7268F" w:rsidRDefault="00387F34" w:rsidP="000D7A56">
            <w:r w:rsidRPr="00B7268F">
              <w:t>Percent Children below 100% of the FPL</w:t>
            </w:r>
          </w:p>
        </w:tc>
        <w:tc>
          <w:tcPr>
            <w:tcW w:w="1980" w:type="dxa"/>
          </w:tcPr>
          <w:p w14:paraId="03276AF6" w14:textId="7AE939E1" w:rsidR="00387F34" w:rsidRDefault="00B7268F" w:rsidP="000D7A56">
            <w:pPr>
              <w:cnfStyle w:val="000000100000" w:firstRow="0" w:lastRow="0" w:firstColumn="0" w:lastColumn="0" w:oddVBand="0" w:evenVBand="0" w:oddHBand="1" w:evenHBand="0" w:firstRowFirstColumn="0" w:firstRowLastColumn="0" w:lastRowFirstColumn="0" w:lastRowLastColumn="0"/>
            </w:pPr>
            <w:r>
              <w:t>16.72%</w:t>
            </w:r>
          </w:p>
        </w:tc>
        <w:tc>
          <w:tcPr>
            <w:tcW w:w="1170" w:type="dxa"/>
          </w:tcPr>
          <w:p w14:paraId="1A3F0608" w14:textId="51AC518E" w:rsidR="00387F34" w:rsidRDefault="00B7268F" w:rsidP="000D7A56">
            <w:pPr>
              <w:cnfStyle w:val="000000100000" w:firstRow="0" w:lastRow="0" w:firstColumn="0" w:lastColumn="0" w:oddVBand="0" w:evenVBand="0" w:oddHBand="1" w:evenHBand="0" w:firstRowFirstColumn="0" w:firstRowLastColumn="0" w:lastRowFirstColumn="0" w:lastRowLastColumn="0"/>
            </w:pPr>
            <w:r>
              <w:t>16.79%</w:t>
            </w:r>
          </w:p>
        </w:tc>
        <w:tc>
          <w:tcPr>
            <w:tcW w:w="1615" w:type="dxa"/>
          </w:tcPr>
          <w:p w14:paraId="7ED73041" w14:textId="76A4FB13" w:rsidR="00387F34" w:rsidRDefault="00B7268F" w:rsidP="000D7A56">
            <w:pPr>
              <w:cnfStyle w:val="000000100000" w:firstRow="0" w:lastRow="0" w:firstColumn="0" w:lastColumn="0" w:oddVBand="0" w:evenVBand="0" w:oddHBand="1" w:evenHBand="0" w:firstRowFirstColumn="0" w:firstRowLastColumn="0" w:lastRowFirstColumn="0" w:lastRowLastColumn="0"/>
            </w:pPr>
            <w:r>
              <w:t>17.05%</w:t>
            </w:r>
          </w:p>
        </w:tc>
      </w:tr>
      <w:tr w:rsidR="00387F34" w14:paraId="42F6FEF0" w14:textId="77777777" w:rsidTr="00B7268F">
        <w:tc>
          <w:tcPr>
            <w:cnfStyle w:val="001000000000" w:firstRow="0" w:lastRow="0" w:firstColumn="1" w:lastColumn="0" w:oddVBand="0" w:evenVBand="0" w:oddHBand="0" w:evenHBand="0" w:firstRowFirstColumn="0" w:firstRowLastColumn="0" w:lastRowFirstColumn="0" w:lastRowLastColumn="0"/>
            <w:tcW w:w="4585" w:type="dxa"/>
          </w:tcPr>
          <w:p w14:paraId="31B7F2EC" w14:textId="46B4286B" w:rsidR="00387F34" w:rsidRPr="00B7268F" w:rsidRDefault="00387F34" w:rsidP="000D7A56">
            <w:r w:rsidRPr="00B7268F">
              <w:t>Children Eligible for Free/Reduced Lunch</w:t>
            </w:r>
          </w:p>
        </w:tc>
        <w:tc>
          <w:tcPr>
            <w:tcW w:w="1980" w:type="dxa"/>
          </w:tcPr>
          <w:p w14:paraId="78EF1129" w14:textId="2F7AC10D" w:rsidR="00387F34" w:rsidRDefault="00B7268F" w:rsidP="000D7A56">
            <w:pPr>
              <w:cnfStyle w:val="000000000000" w:firstRow="0" w:lastRow="0" w:firstColumn="0" w:lastColumn="0" w:oddVBand="0" w:evenVBand="0" w:oddHBand="0" w:evenHBand="0" w:firstRowFirstColumn="0" w:firstRowLastColumn="0" w:lastRowFirstColumn="0" w:lastRowLastColumn="0"/>
            </w:pPr>
            <w:r>
              <w:t>49.70%</w:t>
            </w:r>
          </w:p>
        </w:tc>
        <w:tc>
          <w:tcPr>
            <w:tcW w:w="1170" w:type="dxa"/>
          </w:tcPr>
          <w:p w14:paraId="06725267" w14:textId="55AB4E9C" w:rsidR="00387F34" w:rsidRDefault="00B7268F" w:rsidP="000D7A56">
            <w:pPr>
              <w:cnfStyle w:val="000000000000" w:firstRow="0" w:lastRow="0" w:firstColumn="0" w:lastColumn="0" w:oddVBand="0" w:evenVBand="0" w:oddHBand="0" w:evenHBand="0" w:firstRowFirstColumn="0" w:firstRowLastColumn="0" w:lastRowFirstColumn="0" w:lastRowLastColumn="0"/>
            </w:pPr>
            <w:r>
              <w:t>44.40%</w:t>
            </w:r>
          </w:p>
        </w:tc>
        <w:tc>
          <w:tcPr>
            <w:tcW w:w="1615" w:type="dxa"/>
          </w:tcPr>
          <w:p w14:paraId="6ACFDA4F" w14:textId="7ADB29DA" w:rsidR="00387F34" w:rsidRDefault="00B7268F" w:rsidP="000D7A56">
            <w:pPr>
              <w:cnfStyle w:val="000000000000" w:firstRow="0" w:lastRow="0" w:firstColumn="0" w:lastColumn="0" w:oddVBand="0" w:evenVBand="0" w:oddHBand="0" w:evenHBand="0" w:firstRowFirstColumn="0" w:firstRowLastColumn="0" w:lastRowFirstColumn="0" w:lastRowLastColumn="0"/>
            </w:pPr>
            <w:r>
              <w:t>51.70%</w:t>
            </w:r>
          </w:p>
        </w:tc>
      </w:tr>
      <w:tr w:rsidR="002A2A2F" w14:paraId="5BD15181" w14:textId="77777777" w:rsidTr="00B72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02E58501" w14:textId="640B7DF1" w:rsidR="002A2A2F" w:rsidRPr="00B7268F" w:rsidRDefault="00753761" w:rsidP="000D7A56">
            <w:r>
              <w:lastRenderedPageBreak/>
              <w:t xml:space="preserve">Living Below </w:t>
            </w:r>
            <w:r w:rsidR="002A2A2F">
              <w:t>ALICE Threshold</w:t>
            </w:r>
          </w:p>
        </w:tc>
        <w:tc>
          <w:tcPr>
            <w:tcW w:w="1980" w:type="dxa"/>
          </w:tcPr>
          <w:p w14:paraId="3A2C3089" w14:textId="04939B03" w:rsidR="002A2A2F" w:rsidRDefault="00421FB3" w:rsidP="000D7A56">
            <w:pPr>
              <w:cnfStyle w:val="000000100000" w:firstRow="0" w:lastRow="0" w:firstColumn="0" w:lastColumn="0" w:oddVBand="0" w:evenVBand="0" w:oddHBand="1" w:evenHBand="0" w:firstRowFirstColumn="0" w:firstRowLastColumn="0" w:lastRowFirstColumn="0" w:lastRowLastColumn="0"/>
            </w:pPr>
            <w:r>
              <w:t>35%</w:t>
            </w:r>
          </w:p>
        </w:tc>
        <w:tc>
          <w:tcPr>
            <w:tcW w:w="1170" w:type="dxa"/>
          </w:tcPr>
          <w:p w14:paraId="4C4EC1F3" w14:textId="6E51EE80" w:rsidR="002A2A2F" w:rsidRDefault="00361BB1" w:rsidP="000D7A56">
            <w:pPr>
              <w:cnfStyle w:val="000000100000" w:firstRow="0" w:lastRow="0" w:firstColumn="0" w:lastColumn="0" w:oddVBand="0" w:evenVBand="0" w:oddHBand="1" w:evenHBand="0" w:firstRowFirstColumn="0" w:firstRowLastColumn="0" w:lastRowFirstColumn="0" w:lastRowLastColumn="0"/>
            </w:pPr>
            <w:r>
              <w:t>39%</w:t>
            </w:r>
          </w:p>
        </w:tc>
        <w:tc>
          <w:tcPr>
            <w:tcW w:w="1615" w:type="dxa"/>
          </w:tcPr>
          <w:p w14:paraId="04737161" w14:textId="6975D99C" w:rsidR="002A2A2F" w:rsidRDefault="00421FB3" w:rsidP="000D7A56">
            <w:pPr>
              <w:cnfStyle w:val="000000100000" w:firstRow="0" w:lastRow="0" w:firstColumn="0" w:lastColumn="0" w:oddVBand="0" w:evenVBand="0" w:oddHBand="1" w:evenHBand="0" w:firstRowFirstColumn="0" w:firstRowLastColumn="0" w:lastRowFirstColumn="0" w:lastRowLastColumn="0"/>
            </w:pPr>
            <w:r>
              <w:t>N/A</w:t>
            </w:r>
          </w:p>
        </w:tc>
      </w:tr>
      <w:tr w:rsidR="00387F34" w14:paraId="1F08B61D" w14:textId="77777777" w:rsidTr="00B7268F">
        <w:tc>
          <w:tcPr>
            <w:cnfStyle w:val="001000000000" w:firstRow="0" w:lastRow="0" w:firstColumn="1" w:lastColumn="0" w:oddVBand="0" w:evenVBand="0" w:oddHBand="0" w:evenHBand="0" w:firstRowFirstColumn="0" w:firstRowLastColumn="0" w:lastRowFirstColumn="0" w:lastRowLastColumn="0"/>
            <w:tcW w:w="4585" w:type="dxa"/>
          </w:tcPr>
          <w:p w14:paraId="6ABBC30A" w14:textId="2589BE92" w:rsidR="00387F34" w:rsidRPr="00B7268F" w:rsidRDefault="00387F34" w:rsidP="000D7A56">
            <w:r w:rsidRPr="00B7268F">
              <w:t>Area Deprivation Index</w:t>
            </w:r>
          </w:p>
        </w:tc>
        <w:tc>
          <w:tcPr>
            <w:tcW w:w="1980" w:type="dxa"/>
          </w:tcPr>
          <w:p w14:paraId="40364826" w14:textId="08F6A77F" w:rsidR="00387F34" w:rsidRDefault="00B7268F" w:rsidP="000D7A56">
            <w:pPr>
              <w:cnfStyle w:val="000000000000" w:firstRow="0" w:lastRow="0" w:firstColumn="0" w:lastColumn="0" w:oddVBand="0" w:evenVBand="0" w:oddHBand="0" w:evenHBand="0" w:firstRowFirstColumn="0" w:firstRowLastColumn="0" w:lastRowFirstColumn="0" w:lastRowLastColumn="0"/>
            </w:pPr>
            <w:r>
              <w:t>74</w:t>
            </w:r>
          </w:p>
        </w:tc>
        <w:tc>
          <w:tcPr>
            <w:tcW w:w="1170" w:type="dxa"/>
          </w:tcPr>
          <w:p w14:paraId="7D7ABAC2" w14:textId="48D5E26A" w:rsidR="00387F34" w:rsidRDefault="00B7268F" w:rsidP="000D7A56">
            <w:pPr>
              <w:cnfStyle w:val="000000000000" w:firstRow="0" w:lastRow="0" w:firstColumn="0" w:lastColumn="0" w:oddVBand="0" w:evenVBand="0" w:oddHBand="0" w:evenHBand="0" w:firstRowFirstColumn="0" w:firstRowLastColumn="0" w:lastRowFirstColumn="0" w:lastRowLastColumn="0"/>
            </w:pPr>
            <w:r>
              <w:t>63</w:t>
            </w:r>
          </w:p>
        </w:tc>
        <w:tc>
          <w:tcPr>
            <w:tcW w:w="1615" w:type="dxa"/>
          </w:tcPr>
          <w:p w14:paraId="685BA653" w14:textId="1E367651" w:rsidR="00387F34" w:rsidRDefault="00B7268F" w:rsidP="000D7A56">
            <w:pPr>
              <w:cnfStyle w:val="000000000000" w:firstRow="0" w:lastRow="0" w:firstColumn="0" w:lastColumn="0" w:oddVBand="0" w:evenVBand="0" w:oddHBand="0" w:evenHBand="0" w:firstRowFirstColumn="0" w:firstRowLastColumn="0" w:lastRowFirstColumn="0" w:lastRowLastColumn="0"/>
            </w:pPr>
            <w:r>
              <w:t>46</w:t>
            </w:r>
          </w:p>
        </w:tc>
      </w:tr>
      <w:tr w:rsidR="002A2A2F" w14:paraId="3290C563" w14:textId="77777777" w:rsidTr="00B72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782EFB70" w14:textId="7EDE5B88" w:rsidR="002A2A2F" w:rsidRPr="00B7268F" w:rsidRDefault="00EC3A80" w:rsidP="000D7A56">
            <w:r>
              <w:t>Food Insecure Households</w:t>
            </w:r>
          </w:p>
        </w:tc>
        <w:tc>
          <w:tcPr>
            <w:tcW w:w="1980" w:type="dxa"/>
          </w:tcPr>
          <w:p w14:paraId="3D70E35C" w14:textId="6B1233BB" w:rsidR="002A2A2F" w:rsidRDefault="00EC3A80" w:rsidP="000D7A56">
            <w:pPr>
              <w:cnfStyle w:val="000000100000" w:firstRow="0" w:lastRow="0" w:firstColumn="0" w:lastColumn="0" w:oddVBand="0" w:evenVBand="0" w:oddHBand="1" w:evenHBand="0" w:firstRowFirstColumn="0" w:firstRowLastColumn="0" w:lastRowFirstColumn="0" w:lastRowLastColumn="0"/>
            </w:pPr>
            <w:r>
              <w:t>12.20%</w:t>
            </w:r>
          </w:p>
        </w:tc>
        <w:tc>
          <w:tcPr>
            <w:tcW w:w="1170" w:type="dxa"/>
          </w:tcPr>
          <w:p w14:paraId="2ECF1B03" w14:textId="08E10C8E" w:rsidR="002A2A2F" w:rsidRDefault="00EC3A80" w:rsidP="000D7A56">
            <w:pPr>
              <w:cnfStyle w:val="000000100000" w:firstRow="0" w:lastRow="0" w:firstColumn="0" w:lastColumn="0" w:oddVBand="0" w:evenVBand="0" w:oddHBand="1" w:evenHBand="0" w:firstRowFirstColumn="0" w:firstRowLastColumn="0" w:lastRowFirstColumn="0" w:lastRowLastColumn="0"/>
            </w:pPr>
            <w:r>
              <w:t>10.70%</w:t>
            </w:r>
          </w:p>
        </w:tc>
        <w:tc>
          <w:tcPr>
            <w:tcW w:w="1615" w:type="dxa"/>
          </w:tcPr>
          <w:p w14:paraId="5A4C0CB8" w14:textId="43E4713A" w:rsidR="002A2A2F" w:rsidRDefault="00EC3A80" w:rsidP="000D7A56">
            <w:pPr>
              <w:cnfStyle w:val="000000100000" w:firstRow="0" w:lastRow="0" w:firstColumn="0" w:lastColumn="0" w:oddVBand="0" w:evenVBand="0" w:oddHBand="1" w:evenHBand="0" w:firstRowFirstColumn="0" w:firstRowLastColumn="0" w:lastRowFirstColumn="0" w:lastRowLastColumn="0"/>
            </w:pPr>
            <w:r>
              <w:t>10.40%</w:t>
            </w:r>
          </w:p>
        </w:tc>
      </w:tr>
      <w:tr w:rsidR="00EC3A80" w14:paraId="3760663C" w14:textId="77777777" w:rsidTr="00B7268F">
        <w:tc>
          <w:tcPr>
            <w:cnfStyle w:val="001000000000" w:firstRow="0" w:lastRow="0" w:firstColumn="1" w:lastColumn="0" w:oddVBand="0" w:evenVBand="0" w:oddHBand="0" w:evenHBand="0" w:firstRowFirstColumn="0" w:firstRowLastColumn="0" w:lastRowFirstColumn="0" w:lastRowLastColumn="0"/>
            <w:tcW w:w="4585" w:type="dxa"/>
          </w:tcPr>
          <w:p w14:paraId="44148ECB" w14:textId="250598D8" w:rsidR="00EC3A80" w:rsidRDefault="00EC3A80" w:rsidP="000D7A56">
            <w:r>
              <w:t>Population With</w:t>
            </w:r>
            <w:r w:rsidR="00F930D2">
              <w:t xml:space="preserve"> HS Diploma Only</w:t>
            </w:r>
          </w:p>
        </w:tc>
        <w:tc>
          <w:tcPr>
            <w:tcW w:w="1980" w:type="dxa"/>
          </w:tcPr>
          <w:p w14:paraId="63B6E1BA" w14:textId="6645C376" w:rsidR="00EC3A80" w:rsidRDefault="00F930D2" w:rsidP="000D7A56">
            <w:pPr>
              <w:cnfStyle w:val="000000000000" w:firstRow="0" w:lastRow="0" w:firstColumn="0" w:lastColumn="0" w:oddVBand="0" w:evenVBand="0" w:oddHBand="0" w:evenHBand="0" w:firstRowFirstColumn="0" w:firstRowLastColumn="0" w:lastRowFirstColumn="0" w:lastRowLastColumn="0"/>
            </w:pPr>
            <w:r>
              <w:t>37.6%</w:t>
            </w:r>
          </w:p>
        </w:tc>
        <w:tc>
          <w:tcPr>
            <w:tcW w:w="1170" w:type="dxa"/>
          </w:tcPr>
          <w:p w14:paraId="79FE908E" w14:textId="78E44A6D" w:rsidR="00EC3A80" w:rsidRDefault="00F930D2" w:rsidP="000D7A56">
            <w:pPr>
              <w:cnfStyle w:val="000000000000" w:firstRow="0" w:lastRow="0" w:firstColumn="0" w:lastColumn="0" w:oddVBand="0" w:evenVBand="0" w:oddHBand="0" w:evenHBand="0" w:firstRowFirstColumn="0" w:firstRowLastColumn="0" w:lastRowFirstColumn="0" w:lastRowLastColumn="0"/>
            </w:pPr>
            <w:r>
              <w:t>33.0%</w:t>
            </w:r>
          </w:p>
        </w:tc>
        <w:tc>
          <w:tcPr>
            <w:tcW w:w="1615" w:type="dxa"/>
          </w:tcPr>
          <w:p w14:paraId="35FC9EAF" w14:textId="77777777" w:rsidR="00EC3A80" w:rsidRDefault="00EC3A80" w:rsidP="000D7A56">
            <w:pPr>
              <w:cnfStyle w:val="000000000000" w:firstRow="0" w:lastRow="0" w:firstColumn="0" w:lastColumn="0" w:oddVBand="0" w:evenVBand="0" w:oddHBand="0" w:evenHBand="0" w:firstRowFirstColumn="0" w:firstRowLastColumn="0" w:lastRowFirstColumn="0" w:lastRowLastColumn="0"/>
            </w:pPr>
          </w:p>
        </w:tc>
      </w:tr>
      <w:tr w:rsidR="00EC3A80" w14:paraId="05B1ED11" w14:textId="77777777" w:rsidTr="00B72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2B157D81" w14:textId="20218B4B" w:rsidR="00EC3A80" w:rsidRPr="002A2A2F" w:rsidRDefault="00EC3A80" w:rsidP="000D7A56">
            <w:r>
              <w:t>Population Age 65+</w:t>
            </w:r>
          </w:p>
        </w:tc>
        <w:tc>
          <w:tcPr>
            <w:tcW w:w="1980" w:type="dxa"/>
          </w:tcPr>
          <w:p w14:paraId="727C8425" w14:textId="63D7511F" w:rsidR="00EC3A80" w:rsidRDefault="00EC3A80" w:rsidP="000D7A56">
            <w:pPr>
              <w:cnfStyle w:val="000000100000" w:firstRow="0" w:lastRow="0" w:firstColumn="0" w:lastColumn="0" w:oddVBand="0" w:evenVBand="0" w:oddHBand="1" w:evenHBand="0" w:firstRowFirstColumn="0" w:firstRowLastColumn="0" w:lastRowFirstColumn="0" w:lastRowLastColumn="0"/>
            </w:pPr>
            <w:r>
              <w:t>18.96%</w:t>
            </w:r>
          </w:p>
        </w:tc>
        <w:tc>
          <w:tcPr>
            <w:tcW w:w="1170" w:type="dxa"/>
          </w:tcPr>
          <w:p w14:paraId="2DE667D1" w14:textId="477E4C26" w:rsidR="00EC3A80" w:rsidRDefault="00EC3A80" w:rsidP="000D7A56">
            <w:pPr>
              <w:cnfStyle w:val="000000100000" w:firstRow="0" w:lastRow="0" w:firstColumn="0" w:lastColumn="0" w:oddVBand="0" w:evenVBand="0" w:oddHBand="1" w:evenHBand="0" w:firstRowFirstColumn="0" w:firstRowLastColumn="0" w:lastRowFirstColumn="0" w:lastRowLastColumn="0"/>
            </w:pPr>
            <w:r>
              <w:t>15.66%</w:t>
            </w:r>
          </w:p>
        </w:tc>
        <w:tc>
          <w:tcPr>
            <w:tcW w:w="1615" w:type="dxa"/>
          </w:tcPr>
          <w:p w14:paraId="7B2997CF" w14:textId="333A29B0" w:rsidR="00EC3A80" w:rsidRDefault="00EC3A80" w:rsidP="000D7A56">
            <w:pPr>
              <w:cnfStyle w:val="000000100000" w:firstRow="0" w:lastRow="0" w:firstColumn="0" w:lastColumn="0" w:oddVBand="0" w:evenVBand="0" w:oddHBand="1" w:evenHBand="0" w:firstRowFirstColumn="0" w:firstRowLastColumn="0" w:lastRowFirstColumn="0" w:lastRowLastColumn="0"/>
            </w:pPr>
            <w:r>
              <w:t>16.04%</w:t>
            </w:r>
          </w:p>
        </w:tc>
      </w:tr>
      <w:tr w:rsidR="00EC3A80" w14:paraId="46028DCA" w14:textId="77777777" w:rsidTr="00B7268F">
        <w:tc>
          <w:tcPr>
            <w:cnfStyle w:val="001000000000" w:firstRow="0" w:lastRow="0" w:firstColumn="1" w:lastColumn="0" w:oddVBand="0" w:evenVBand="0" w:oddHBand="0" w:evenHBand="0" w:firstRowFirstColumn="0" w:firstRowLastColumn="0" w:lastRowFirstColumn="0" w:lastRowLastColumn="0"/>
            <w:tcW w:w="4585" w:type="dxa"/>
          </w:tcPr>
          <w:p w14:paraId="09D98797" w14:textId="28C8E006" w:rsidR="00EC3A80" w:rsidRDefault="00EC3A80" w:rsidP="000D7A56">
            <w:r>
              <w:t>Population With Any Disability</w:t>
            </w:r>
          </w:p>
        </w:tc>
        <w:tc>
          <w:tcPr>
            <w:tcW w:w="1980" w:type="dxa"/>
          </w:tcPr>
          <w:p w14:paraId="7933646C" w14:textId="03314F58" w:rsidR="00EC3A80" w:rsidRDefault="00EC3A80" w:rsidP="000D7A56">
            <w:pPr>
              <w:cnfStyle w:val="000000000000" w:firstRow="0" w:lastRow="0" w:firstColumn="0" w:lastColumn="0" w:oddVBand="0" w:evenVBand="0" w:oddHBand="0" w:evenHBand="0" w:firstRowFirstColumn="0" w:firstRowLastColumn="0" w:lastRowFirstColumn="0" w:lastRowLastColumn="0"/>
            </w:pPr>
            <w:r>
              <w:t>16.91%</w:t>
            </w:r>
          </w:p>
        </w:tc>
        <w:tc>
          <w:tcPr>
            <w:tcW w:w="1170" w:type="dxa"/>
          </w:tcPr>
          <w:p w14:paraId="43A088C2" w14:textId="3D49A798" w:rsidR="00EC3A80" w:rsidRDefault="00EC3A80" w:rsidP="000D7A56">
            <w:pPr>
              <w:cnfStyle w:val="000000000000" w:firstRow="0" w:lastRow="0" w:firstColumn="0" w:lastColumn="0" w:oddVBand="0" w:evenVBand="0" w:oddHBand="0" w:evenHBand="0" w:firstRowFirstColumn="0" w:firstRowLastColumn="0" w:lastRowFirstColumn="0" w:lastRowLastColumn="0"/>
            </w:pPr>
            <w:r>
              <w:t>13.61%</w:t>
            </w:r>
          </w:p>
        </w:tc>
        <w:tc>
          <w:tcPr>
            <w:tcW w:w="1615" w:type="dxa"/>
          </w:tcPr>
          <w:p w14:paraId="00AB4855" w14:textId="51AE6E15" w:rsidR="00EC3A80" w:rsidRDefault="00EC3A80" w:rsidP="000D7A56">
            <w:pPr>
              <w:cnfStyle w:val="000000000000" w:firstRow="0" w:lastRow="0" w:firstColumn="0" w:lastColumn="0" w:oddVBand="0" w:evenVBand="0" w:oddHBand="0" w:evenHBand="0" w:firstRowFirstColumn="0" w:firstRowLastColumn="0" w:lastRowFirstColumn="0" w:lastRowLastColumn="0"/>
            </w:pPr>
            <w:r>
              <w:t>12.64%</w:t>
            </w:r>
          </w:p>
        </w:tc>
      </w:tr>
    </w:tbl>
    <w:p w14:paraId="06571DF3" w14:textId="31867490" w:rsidR="00561DD5" w:rsidRDefault="006B3961" w:rsidP="00FE4350">
      <w:pPr>
        <w:spacing w:before="240" w:after="240"/>
      </w:pPr>
      <w:r>
        <w:t xml:space="preserve">While most factors are similar to state and US rates, </w:t>
      </w:r>
      <w:r w:rsidR="00561DD5">
        <w:t xml:space="preserve">barriers to care are </w:t>
      </w:r>
      <w:r w:rsidR="008147F8">
        <w:t xml:space="preserve">still </w:t>
      </w:r>
      <w:r w:rsidR="00561DD5">
        <w:t>prevalent within the community:</w:t>
      </w:r>
    </w:p>
    <w:p w14:paraId="6C0AD08E" w14:textId="1D372CE6" w:rsidR="00561DD5" w:rsidRDefault="005F453D" w:rsidP="000D7A56">
      <w:pPr>
        <w:pStyle w:val="ListParagraph"/>
        <w:numPr>
          <w:ilvl w:val="0"/>
          <w:numId w:val="3"/>
        </w:numPr>
        <w:spacing w:after="240"/>
      </w:pPr>
      <w:r w:rsidRPr="000C646F">
        <w:rPr>
          <w:u w:val="single"/>
        </w:rPr>
        <w:t>Transportation</w:t>
      </w:r>
      <w:r>
        <w:t xml:space="preserve">: 5.56% of the population does not have a vehicle, impacting ability to access </w:t>
      </w:r>
      <w:r w:rsidR="000C646F">
        <w:t>appointments and other services. As a portion of the county is rural and/or smaller communities, public transportation is not as readily available or accessible.</w:t>
      </w:r>
    </w:p>
    <w:p w14:paraId="7E73CC24" w14:textId="28ED72E7" w:rsidR="000C646F" w:rsidRDefault="008147F8" w:rsidP="000D7A56">
      <w:pPr>
        <w:pStyle w:val="ListParagraph"/>
        <w:numPr>
          <w:ilvl w:val="0"/>
          <w:numId w:val="3"/>
        </w:numPr>
        <w:spacing w:after="240"/>
      </w:pPr>
      <w:r>
        <w:rPr>
          <w:u w:val="single"/>
        </w:rPr>
        <w:t>Language Barriers</w:t>
      </w:r>
      <w:r w:rsidRPr="008147F8">
        <w:t>:</w:t>
      </w:r>
      <w:r w:rsidR="00EC3A80" w:rsidRPr="00EC3A80">
        <w:t xml:space="preserve"> Limited language proficiency and lower educational attainment, such as that seen in the service area population, contribute to health disparities and negatively impact access to care and utilization of services. The inability to communicate well or to understand more complex health issues hampers access to health care, employment, transportation, social services, and education.</w:t>
      </w:r>
    </w:p>
    <w:p w14:paraId="14BD3B1B" w14:textId="31B91BC6" w:rsidR="00EC3A80" w:rsidRPr="0038792F" w:rsidRDefault="00F712F7" w:rsidP="000D7A56">
      <w:pPr>
        <w:pStyle w:val="ListParagraph"/>
        <w:numPr>
          <w:ilvl w:val="0"/>
          <w:numId w:val="3"/>
        </w:numPr>
        <w:spacing w:after="240"/>
      </w:pPr>
      <w:r>
        <w:rPr>
          <w:u w:val="single"/>
        </w:rPr>
        <w:t>Housing Insecurity:</w:t>
      </w:r>
      <w:r>
        <w:t xml:space="preserve"> Nearly 20% of the service area faces substandard housing or a significant housing cost burden. </w:t>
      </w:r>
      <w:r w:rsidR="00E625CE">
        <w:t xml:space="preserve">Residents facing housing insecurity can contribute to </w:t>
      </w:r>
      <w:r w:rsidR="005040C8" w:rsidRPr="0038792F">
        <w:t>health disparities and negatively impact access to care and utilization of services.</w:t>
      </w:r>
    </w:p>
    <w:p w14:paraId="1E9A9E07" w14:textId="579D4C80" w:rsidR="005040C8" w:rsidRDefault="00162038" w:rsidP="000D7A56">
      <w:pPr>
        <w:pStyle w:val="ListParagraph"/>
        <w:numPr>
          <w:ilvl w:val="0"/>
          <w:numId w:val="3"/>
        </w:numPr>
        <w:spacing w:after="240"/>
      </w:pPr>
      <w:r w:rsidRPr="0038792F">
        <w:rPr>
          <w:u w:val="single"/>
        </w:rPr>
        <w:t>Educational Attainment:</w:t>
      </w:r>
      <w:r w:rsidRPr="0038792F">
        <w:t xml:space="preserve"> </w:t>
      </w:r>
      <w:r w:rsidR="00FD25C9" w:rsidRPr="0038792F">
        <w:t xml:space="preserve">A significant number of the population only has a high school education. </w:t>
      </w:r>
      <w:r w:rsidR="0038792F" w:rsidRPr="0038792F">
        <w:t>The combination of poverty and lower educational attainment in 4C Health’s service area presents significant barriers to health care access and often results in poorer health outcomes amongst the impoverished and housing insecure target population.</w:t>
      </w:r>
    </w:p>
    <w:p w14:paraId="0E1AA0D5" w14:textId="3536516E" w:rsidR="00421FB3" w:rsidRPr="0038792F" w:rsidRDefault="00421FB3" w:rsidP="009D4281">
      <w:pPr>
        <w:pStyle w:val="ListParagraph"/>
        <w:numPr>
          <w:ilvl w:val="0"/>
          <w:numId w:val="3"/>
        </w:numPr>
        <w:spacing w:after="240"/>
      </w:pPr>
      <w:r>
        <w:rPr>
          <w:u w:val="single"/>
        </w:rPr>
        <w:t>Income &amp; Poverty:</w:t>
      </w:r>
      <w:r>
        <w:t xml:space="preserve"> </w:t>
      </w:r>
      <w:r w:rsidR="00906087">
        <w:t>Nearly 12% of Howard County lives in poverty, with more than two-thirds living below the ALICE Threshold. ALICE is an acronym for</w:t>
      </w:r>
      <w:r w:rsidR="009D4281">
        <w:t xml:space="preserve"> Asset Limited, Income Constrained, Employed – meaning </w:t>
      </w:r>
      <w:r w:rsidR="009D4281" w:rsidRPr="009D4281">
        <w:t>households that earn more than the Federal Poverty Level, but less than the basic cost of living for the county.</w:t>
      </w:r>
      <w:r w:rsidR="0026145B" w:rsidRPr="0026145B">
        <w:t xml:space="preserve"> Income is a socioeconomic factor that predetermines an individual’s access to housing, healthcare, health insurance and healthy foods, impacting the health and wellbeing of the individual and their family</w:t>
      </w:r>
      <w:r w:rsidR="0026145B">
        <w:t>.</w:t>
      </w:r>
    </w:p>
    <w:p w14:paraId="37E95645" w14:textId="610374CC" w:rsidR="00235D1C" w:rsidRDefault="00561DD5" w:rsidP="000D7A56">
      <w:pPr>
        <w:spacing w:after="240"/>
      </w:pPr>
      <w:r>
        <w:t>T</w:t>
      </w:r>
      <w:r w:rsidR="006B3961">
        <w:t xml:space="preserve">here is a notable difference in the </w:t>
      </w:r>
      <w:r w:rsidR="00EC3A80">
        <w:t xml:space="preserve">food insecurity rate, </w:t>
      </w:r>
      <w:r w:rsidR="00F86496">
        <w:t xml:space="preserve">unemployment rate, </w:t>
      </w:r>
      <w:r w:rsidR="006B3961">
        <w:t>Area Deprivation Index</w:t>
      </w:r>
      <w:r w:rsidR="00F86496">
        <w:t xml:space="preserve"> (ADI)</w:t>
      </w:r>
      <w:r w:rsidR="006B3961">
        <w:t>, population with a disability, a</w:t>
      </w:r>
      <w:r w:rsidR="0038792F">
        <w:t>nd aging population</w:t>
      </w:r>
      <w:r w:rsidR="00EE2CDE">
        <w:t xml:space="preserve"> above state and national rates</w:t>
      </w:r>
      <w:r w:rsidR="0038792F">
        <w:t xml:space="preserve">. </w:t>
      </w:r>
    </w:p>
    <w:p w14:paraId="15ADE65C" w14:textId="0D29DE53" w:rsidR="00EC3A80" w:rsidRDefault="00EC3A80" w:rsidP="000D7A56">
      <w:pPr>
        <w:pStyle w:val="ListParagraph"/>
        <w:numPr>
          <w:ilvl w:val="0"/>
          <w:numId w:val="3"/>
        </w:numPr>
        <w:spacing w:after="240"/>
      </w:pPr>
      <w:r>
        <w:rPr>
          <w:u w:val="single"/>
        </w:rPr>
        <w:t>Food Insecurity:</w:t>
      </w:r>
      <w:r>
        <w:t xml:space="preserve"> The rate of food insecurity in Howard County (12.20%) is much higher than Indiana as a whole (10.70%). </w:t>
      </w:r>
      <w:r w:rsidR="00731212">
        <w:t xml:space="preserve">Food insecurity has a harmful impact on both physical and mental health and can </w:t>
      </w:r>
      <w:r w:rsidR="00EE2CDE">
        <w:t>contribute to</w:t>
      </w:r>
      <w:r w:rsidR="00731212">
        <w:t xml:space="preserve"> t</w:t>
      </w:r>
      <w:r w:rsidR="00675416">
        <w:t xml:space="preserve">he development of children. </w:t>
      </w:r>
      <w:r w:rsidR="00731212" w:rsidRPr="00731212">
        <w:t xml:space="preserve">4C Health is continuously working to build relationships with local partners to provide patients with enabling services and information to assist them in overcoming food insecurity (food </w:t>
      </w:r>
      <w:r w:rsidR="00731212" w:rsidRPr="00731212">
        <w:lastRenderedPageBreak/>
        <w:t xml:space="preserve">banks, soup kitchens, shelters and religious organizations providing meals). 4C Health also refers qualifying patients to WIC, which </w:t>
      </w:r>
      <w:r w:rsidR="00EE2CDE" w:rsidRPr="00731212">
        <w:t>assists</w:t>
      </w:r>
      <w:r w:rsidR="00731212" w:rsidRPr="00731212">
        <w:t xml:space="preserve"> mothers, infants, and children in achieving food security.</w:t>
      </w:r>
    </w:p>
    <w:p w14:paraId="63C467CD" w14:textId="4B4E4ED5" w:rsidR="00675416" w:rsidRPr="00EE2CDE" w:rsidRDefault="00675416" w:rsidP="000D7A56">
      <w:pPr>
        <w:pStyle w:val="ListParagraph"/>
        <w:numPr>
          <w:ilvl w:val="0"/>
          <w:numId w:val="3"/>
        </w:numPr>
        <w:spacing w:after="240"/>
      </w:pPr>
      <w:r>
        <w:rPr>
          <w:u w:val="single"/>
        </w:rPr>
        <w:t>Unemployment:</w:t>
      </w:r>
      <w:r>
        <w:t xml:space="preserve"> </w:t>
      </w:r>
      <w:r w:rsidR="005040C8">
        <w:t>Howard County has the highest unemployment rate of 4C Health’s service area at 4.40%</w:t>
      </w:r>
      <w:r w:rsidR="008F5577">
        <w:t xml:space="preserve"> (April 2023). </w:t>
      </w:r>
      <w:r w:rsidR="000330ED" w:rsidRPr="000330ED">
        <w:t xml:space="preserve">Examples of negative health outcomes associated with unemployment include increases in depression, symptoms of distress, and low self-esteem, with a more limited body of research suggesting an association with poorer </w:t>
      </w:r>
      <w:r w:rsidR="000330ED" w:rsidRPr="00EE2CDE">
        <w:t>physical health, including increases in cardiovascular risk factors such as serum cholesterol, hypertension, and respiratory infections.</w:t>
      </w:r>
      <w:r w:rsidR="007761DF" w:rsidRPr="00EE2CDE">
        <w:t xml:space="preserve"> Those that are unemployed or uninsured may forego health services, especially preventive health care. </w:t>
      </w:r>
      <w:r w:rsidR="00162038" w:rsidRPr="00EE2CDE">
        <w:t>4C Health eliminates this barrier to care, providing care to all patients regardless of their ability to pay for services.</w:t>
      </w:r>
    </w:p>
    <w:p w14:paraId="1A7F18B5" w14:textId="2EE05142" w:rsidR="00675416" w:rsidRPr="00EE2CDE" w:rsidRDefault="00675416" w:rsidP="000D7A56">
      <w:pPr>
        <w:pStyle w:val="ListParagraph"/>
        <w:numPr>
          <w:ilvl w:val="0"/>
          <w:numId w:val="3"/>
        </w:numPr>
        <w:spacing w:after="240"/>
      </w:pPr>
      <w:r w:rsidRPr="00EE2CDE">
        <w:rPr>
          <w:u w:val="single"/>
        </w:rPr>
        <w:t>Area Deprivation Index (ADI):</w:t>
      </w:r>
      <w:r w:rsidR="00EE2CDE" w:rsidRPr="00EE2CDE">
        <w:t xml:space="preserve"> The ADI for Howard County is 74, compared to 63 in Indiana. ADI ranks neighborhoods and communities relative to all neighborhoods across the nation and uses a scale to indicate the levels of deprivation/disadvantage in an area, where 1 is the lowest and 100 is the highest level of deprivation.</w:t>
      </w:r>
    </w:p>
    <w:p w14:paraId="351E3649" w14:textId="0E743904" w:rsidR="00675416" w:rsidRDefault="00675416" w:rsidP="000D7A56">
      <w:pPr>
        <w:pStyle w:val="ListParagraph"/>
        <w:numPr>
          <w:ilvl w:val="0"/>
          <w:numId w:val="3"/>
        </w:numPr>
        <w:spacing w:after="240"/>
      </w:pPr>
      <w:r>
        <w:rPr>
          <w:u w:val="single"/>
        </w:rPr>
        <w:t>Disability:</w:t>
      </w:r>
      <w:r w:rsidR="00302133">
        <w:t xml:space="preserve"> As noted, the percentage of Howard County with a disability is higher than Indiana (</w:t>
      </w:r>
      <w:r w:rsidR="00FD408E">
        <w:t xml:space="preserve">16.91% versus 13.61%). </w:t>
      </w:r>
      <w:r w:rsidR="0066677D">
        <w:t>Individuals with disabilities face significantly higher disparities related to health care access, behaviors, health status, and social determinants of health, and there is evidence of an increase in likelihood of substance misuse.</w:t>
      </w:r>
      <w:r w:rsidR="00A710C1">
        <w:t xml:space="preserve"> </w:t>
      </w:r>
      <w:r w:rsidR="00A710C1" w:rsidRPr="00A710C1">
        <w:t>With higher rates of people living with disabilities in the service area, there will continue to be a greater need for healthcare and supportive services from this group.</w:t>
      </w:r>
      <w:r w:rsidR="0066677D">
        <w:t xml:space="preserve"> </w:t>
      </w:r>
    </w:p>
    <w:p w14:paraId="68F7BE0D" w14:textId="34A4F8AF" w:rsidR="0038792F" w:rsidRPr="00675416" w:rsidRDefault="0038792F" w:rsidP="000D7A56">
      <w:pPr>
        <w:pStyle w:val="ListParagraph"/>
        <w:numPr>
          <w:ilvl w:val="0"/>
          <w:numId w:val="3"/>
        </w:numPr>
        <w:spacing w:after="240"/>
      </w:pPr>
      <w:r>
        <w:rPr>
          <w:u w:val="single"/>
        </w:rPr>
        <w:t>Aging Population</w:t>
      </w:r>
      <w:r>
        <w:t>: A significant proportion of Howard County’s population is above 65 years of age (18.96%), compared to Indiana (15.66%). The aging population has unique healthcare needs and challenges, as well as barriers to care, that 4C Health must address.</w:t>
      </w:r>
    </w:p>
    <w:p w14:paraId="37F5E59D" w14:textId="3C7C1F19" w:rsidR="006B3961" w:rsidRPr="006B3961" w:rsidRDefault="00235D1C" w:rsidP="000D7A56">
      <w:pPr>
        <w:spacing w:after="240"/>
      </w:pPr>
      <w:r w:rsidRPr="00235D1C">
        <w:t>In alignment with Healthy People 2030, 4C Health focuses on reducing health disparities for patients and Indiana communities.</w:t>
      </w:r>
      <w:r w:rsidR="00CF4483" w:rsidRPr="00CF4483">
        <w:t xml:space="preserve"> Health disparities are defined as differences in health or the critical determinants of health such as safe housing, discrimination, resources, and education that negatively affect marginalized populations.</w:t>
      </w:r>
    </w:p>
    <w:p w14:paraId="117563EB" w14:textId="5F2916D7" w:rsidR="00052741" w:rsidRDefault="00D002DB" w:rsidP="000D7A56">
      <w:pPr>
        <w:spacing w:after="240"/>
        <w:rPr>
          <w:b/>
          <w:bCs/>
          <w:i/>
          <w:iCs/>
        </w:rPr>
      </w:pPr>
      <w:r>
        <w:rPr>
          <w:b/>
          <w:bCs/>
          <w:i/>
          <w:iCs/>
        </w:rPr>
        <w:t>Health Outcomes</w:t>
      </w:r>
    </w:p>
    <w:tbl>
      <w:tblPr>
        <w:tblStyle w:val="GridTable4-Accent6"/>
        <w:tblW w:w="0" w:type="auto"/>
        <w:tblLook w:val="04A0" w:firstRow="1" w:lastRow="0" w:firstColumn="1" w:lastColumn="0" w:noHBand="0" w:noVBand="1"/>
      </w:tblPr>
      <w:tblGrid>
        <w:gridCol w:w="4585"/>
        <w:gridCol w:w="1890"/>
        <w:gridCol w:w="1170"/>
        <w:gridCol w:w="1705"/>
      </w:tblGrid>
      <w:tr w:rsidR="00A128AD" w:rsidRPr="00A128AD" w14:paraId="69BCB80A" w14:textId="77777777" w:rsidTr="00EB62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711FDC14" w14:textId="23CABC6C" w:rsidR="00A128AD" w:rsidRPr="00A128AD" w:rsidRDefault="00A128AD" w:rsidP="000D7A56">
            <w:r w:rsidRPr="00A128AD">
              <w:t xml:space="preserve">Health </w:t>
            </w:r>
            <w:r w:rsidRPr="000D7A56">
              <w:t>Outcomes</w:t>
            </w:r>
          </w:p>
        </w:tc>
        <w:tc>
          <w:tcPr>
            <w:tcW w:w="1890" w:type="dxa"/>
          </w:tcPr>
          <w:p w14:paraId="6E4AE6BF" w14:textId="77777777" w:rsidR="00A128AD" w:rsidRPr="00A128AD" w:rsidRDefault="00A128AD" w:rsidP="000D7A56">
            <w:pPr>
              <w:cnfStyle w:val="100000000000" w:firstRow="1" w:lastRow="0" w:firstColumn="0" w:lastColumn="0" w:oddVBand="0" w:evenVBand="0" w:oddHBand="0" w:evenHBand="0" w:firstRowFirstColumn="0" w:firstRowLastColumn="0" w:lastRowFirstColumn="0" w:lastRowLastColumn="0"/>
            </w:pPr>
            <w:r w:rsidRPr="00A128AD">
              <w:t>Howard County</w:t>
            </w:r>
          </w:p>
        </w:tc>
        <w:tc>
          <w:tcPr>
            <w:tcW w:w="1170" w:type="dxa"/>
          </w:tcPr>
          <w:p w14:paraId="4A83146A" w14:textId="77777777" w:rsidR="00A128AD" w:rsidRPr="00A128AD" w:rsidRDefault="00A128AD" w:rsidP="000D7A56">
            <w:pPr>
              <w:cnfStyle w:val="100000000000" w:firstRow="1" w:lastRow="0" w:firstColumn="0" w:lastColumn="0" w:oddVBand="0" w:evenVBand="0" w:oddHBand="0" w:evenHBand="0" w:firstRowFirstColumn="0" w:firstRowLastColumn="0" w:lastRowFirstColumn="0" w:lastRowLastColumn="0"/>
            </w:pPr>
            <w:r w:rsidRPr="00A128AD">
              <w:t>Indiana</w:t>
            </w:r>
          </w:p>
        </w:tc>
        <w:tc>
          <w:tcPr>
            <w:tcW w:w="1705" w:type="dxa"/>
          </w:tcPr>
          <w:p w14:paraId="21B2F70F" w14:textId="77777777" w:rsidR="00A128AD" w:rsidRPr="00A128AD" w:rsidRDefault="00A128AD" w:rsidP="000D7A56">
            <w:pPr>
              <w:cnfStyle w:val="100000000000" w:firstRow="1" w:lastRow="0" w:firstColumn="0" w:lastColumn="0" w:oddVBand="0" w:evenVBand="0" w:oddHBand="0" w:evenHBand="0" w:firstRowFirstColumn="0" w:firstRowLastColumn="0" w:lastRowFirstColumn="0" w:lastRowLastColumn="0"/>
            </w:pPr>
            <w:r w:rsidRPr="00A128AD">
              <w:t>United States</w:t>
            </w:r>
          </w:p>
        </w:tc>
      </w:tr>
      <w:tr w:rsidR="00A128AD" w:rsidRPr="00A128AD" w14:paraId="62C64DC9" w14:textId="77777777" w:rsidTr="00EB6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07ED3D50" w14:textId="2F5FF60D" w:rsidR="00A128AD" w:rsidRPr="00A128AD" w:rsidRDefault="00A128AD" w:rsidP="000D7A56">
            <w:r>
              <w:t>Premature Death</w:t>
            </w:r>
          </w:p>
        </w:tc>
        <w:tc>
          <w:tcPr>
            <w:tcW w:w="1890" w:type="dxa"/>
          </w:tcPr>
          <w:p w14:paraId="3355EC32" w14:textId="6AE96877" w:rsidR="00A128AD" w:rsidRPr="00A128AD" w:rsidRDefault="00A128AD" w:rsidP="000D7A56">
            <w:pPr>
              <w:cnfStyle w:val="000000100000" w:firstRow="0" w:lastRow="0" w:firstColumn="0" w:lastColumn="0" w:oddVBand="0" w:evenVBand="0" w:oddHBand="1" w:evenHBand="0" w:firstRowFirstColumn="0" w:firstRowLastColumn="0" w:lastRowFirstColumn="0" w:lastRowLastColumn="0"/>
            </w:pPr>
            <w:r>
              <w:t>11,100</w:t>
            </w:r>
          </w:p>
        </w:tc>
        <w:tc>
          <w:tcPr>
            <w:tcW w:w="1170" w:type="dxa"/>
          </w:tcPr>
          <w:p w14:paraId="0253149B" w14:textId="3A854CE9" w:rsidR="00A128AD" w:rsidRPr="00A128AD" w:rsidRDefault="00A128AD" w:rsidP="000D7A56">
            <w:pPr>
              <w:cnfStyle w:val="000000100000" w:firstRow="0" w:lastRow="0" w:firstColumn="0" w:lastColumn="0" w:oddVBand="0" w:evenVBand="0" w:oddHBand="1" w:evenHBand="0" w:firstRowFirstColumn="0" w:firstRowLastColumn="0" w:lastRowFirstColumn="0" w:lastRowLastColumn="0"/>
            </w:pPr>
            <w:r>
              <w:t>8,600</w:t>
            </w:r>
          </w:p>
        </w:tc>
        <w:tc>
          <w:tcPr>
            <w:tcW w:w="1705" w:type="dxa"/>
          </w:tcPr>
          <w:p w14:paraId="484A3B00" w14:textId="35A9CB51" w:rsidR="00A128AD" w:rsidRPr="00A128AD" w:rsidRDefault="00A128AD" w:rsidP="000D7A56">
            <w:pPr>
              <w:cnfStyle w:val="000000100000" w:firstRow="0" w:lastRow="0" w:firstColumn="0" w:lastColumn="0" w:oddVBand="0" w:evenVBand="0" w:oddHBand="1" w:evenHBand="0" w:firstRowFirstColumn="0" w:firstRowLastColumn="0" w:lastRowFirstColumn="0" w:lastRowLastColumn="0"/>
            </w:pPr>
            <w:r>
              <w:t>7,300</w:t>
            </w:r>
          </w:p>
        </w:tc>
      </w:tr>
      <w:tr w:rsidR="00A128AD" w:rsidRPr="00A128AD" w14:paraId="7F59A1EF" w14:textId="77777777" w:rsidTr="00EB628C">
        <w:tc>
          <w:tcPr>
            <w:cnfStyle w:val="001000000000" w:firstRow="0" w:lastRow="0" w:firstColumn="1" w:lastColumn="0" w:oddVBand="0" w:evenVBand="0" w:oddHBand="0" w:evenHBand="0" w:firstRowFirstColumn="0" w:firstRowLastColumn="0" w:lastRowFirstColumn="0" w:lastRowLastColumn="0"/>
            <w:tcW w:w="4585" w:type="dxa"/>
          </w:tcPr>
          <w:p w14:paraId="6CA3003E" w14:textId="5D56D6C8" w:rsidR="00A128AD" w:rsidRPr="00A128AD" w:rsidRDefault="0021569A" w:rsidP="000D7A56">
            <w:r>
              <w:t>Poor or Fair Health</w:t>
            </w:r>
          </w:p>
        </w:tc>
        <w:tc>
          <w:tcPr>
            <w:tcW w:w="1890" w:type="dxa"/>
          </w:tcPr>
          <w:p w14:paraId="444D3DC3" w14:textId="11D7BB58" w:rsidR="00A128AD" w:rsidRPr="00A128AD" w:rsidRDefault="0021569A" w:rsidP="000D7A56">
            <w:pPr>
              <w:cnfStyle w:val="000000000000" w:firstRow="0" w:lastRow="0" w:firstColumn="0" w:lastColumn="0" w:oddVBand="0" w:evenVBand="0" w:oddHBand="0" w:evenHBand="0" w:firstRowFirstColumn="0" w:firstRowLastColumn="0" w:lastRowFirstColumn="0" w:lastRowLastColumn="0"/>
            </w:pPr>
            <w:r>
              <w:t>15%</w:t>
            </w:r>
          </w:p>
        </w:tc>
        <w:tc>
          <w:tcPr>
            <w:tcW w:w="1170" w:type="dxa"/>
          </w:tcPr>
          <w:p w14:paraId="624749C3" w14:textId="46FBF34C" w:rsidR="00A128AD" w:rsidRPr="00A128AD" w:rsidRDefault="0021569A" w:rsidP="000D7A56">
            <w:pPr>
              <w:cnfStyle w:val="000000000000" w:firstRow="0" w:lastRow="0" w:firstColumn="0" w:lastColumn="0" w:oddVBand="0" w:evenVBand="0" w:oddHBand="0" w:evenHBand="0" w:firstRowFirstColumn="0" w:firstRowLastColumn="0" w:lastRowFirstColumn="0" w:lastRowLastColumn="0"/>
            </w:pPr>
            <w:r>
              <w:t>15%</w:t>
            </w:r>
          </w:p>
        </w:tc>
        <w:tc>
          <w:tcPr>
            <w:tcW w:w="1705" w:type="dxa"/>
          </w:tcPr>
          <w:p w14:paraId="63E5BB91" w14:textId="0108F9BE" w:rsidR="00A128AD" w:rsidRPr="00A128AD" w:rsidRDefault="0021569A" w:rsidP="000D7A56">
            <w:pPr>
              <w:cnfStyle w:val="000000000000" w:firstRow="0" w:lastRow="0" w:firstColumn="0" w:lastColumn="0" w:oddVBand="0" w:evenVBand="0" w:oddHBand="0" w:evenHBand="0" w:firstRowFirstColumn="0" w:firstRowLastColumn="0" w:lastRowFirstColumn="0" w:lastRowLastColumn="0"/>
            </w:pPr>
            <w:r>
              <w:t>12%</w:t>
            </w:r>
          </w:p>
        </w:tc>
      </w:tr>
      <w:tr w:rsidR="00A128AD" w:rsidRPr="00A128AD" w14:paraId="39B5D097" w14:textId="77777777" w:rsidTr="00EB6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2CA63C1F" w14:textId="43BC7D40" w:rsidR="00A128AD" w:rsidRPr="00A128AD" w:rsidRDefault="0021569A" w:rsidP="000D7A56">
            <w:r>
              <w:t>Poor Physical Health Days</w:t>
            </w:r>
          </w:p>
        </w:tc>
        <w:tc>
          <w:tcPr>
            <w:tcW w:w="1890" w:type="dxa"/>
          </w:tcPr>
          <w:p w14:paraId="005D3321" w14:textId="3AAE0A4A" w:rsidR="00A128AD" w:rsidRPr="00A128AD" w:rsidRDefault="00BD6F32" w:rsidP="000D7A56">
            <w:pPr>
              <w:cnfStyle w:val="000000100000" w:firstRow="0" w:lastRow="0" w:firstColumn="0" w:lastColumn="0" w:oddVBand="0" w:evenVBand="0" w:oddHBand="1" w:evenHBand="0" w:firstRowFirstColumn="0" w:firstRowLastColumn="0" w:lastRowFirstColumn="0" w:lastRowLastColumn="0"/>
            </w:pPr>
            <w:r>
              <w:t>3.4</w:t>
            </w:r>
          </w:p>
        </w:tc>
        <w:tc>
          <w:tcPr>
            <w:tcW w:w="1170" w:type="dxa"/>
          </w:tcPr>
          <w:p w14:paraId="127F1F81" w14:textId="551FE326" w:rsidR="00A128AD" w:rsidRPr="00A128AD" w:rsidRDefault="00BD6F32" w:rsidP="000D7A56">
            <w:pPr>
              <w:cnfStyle w:val="000000100000" w:firstRow="0" w:lastRow="0" w:firstColumn="0" w:lastColumn="0" w:oddVBand="0" w:evenVBand="0" w:oddHBand="1" w:evenHBand="0" w:firstRowFirstColumn="0" w:firstRowLastColumn="0" w:lastRowFirstColumn="0" w:lastRowLastColumn="0"/>
            </w:pPr>
            <w:r>
              <w:t>3.3</w:t>
            </w:r>
          </w:p>
        </w:tc>
        <w:tc>
          <w:tcPr>
            <w:tcW w:w="1705" w:type="dxa"/>
          </w:tcPr>
          <w:p w14:paraId="31E85947" w14:textId="2418728B" w:rsidR="00A128AD" w:rsidRPr="00A128AD" w:rsidRDefault="00BD6F32" w:rsidP="000D7A56">
            <w:pPr>
              <w:cnfStyle w:val="000000100000" w:firstRow="0" w:lastRow="0" w:firstColumn="0" w:lastColumn="0" w:oddVBand="0" w:evenVBand="0" w:oddHBand="1" w:evenHBand="0" w:firstRowFirstColumn="0" w:firstRowLastColumn="0" w:lastRowFirstColumn="0" w:lastRowLastColumn="0"/>
            </w:pPr>
            <w:r>
              <w:t>3.0</w:t>
            </w:r>
          </w:p>
        </w:tc>
      </w:tr>
      <w:tr w:rsidR="0021569A" w:rsidRPr="00A128AD" w14:paraId="4A76FD8D" w14:textId="77777777" w:rsidTr="00EB628C">
        <w:tc>
          <w:tcPr>
            <w:cnfStyle w:val="001000000000" w:firstRow="0" w:lastRow="0" w:firstColumn="1" w:lastColumn="0" w:oddVBand="0" w:evenVBand="0" w:oddHBand="0" w:evenHBand="0" w:firstRowFirstColumn="0" w:firstRowLastColumn="0" w:lastRowFirstColumn="0" w:lastRowLastColumn="0"/>
            <w:tcW w:w="4585" w:type="dxa"/>
          </w:tcPr>
          <w:p w14:paraId="340109BD" w14:textId="432ED4C6" w:rsidR="0021569A" w:rsidRDefault="0021569A" w:rsidP="000D7A56">
            <w:r>
              <w:t>Poor Mental Health Days</w:t>
            </w:r>
          </w:p>
        </w:tc>
        <w:tc>
          <w:tcPr>
            <w:tcW w:w="1890" w:type="dxa"/>
          </w:tcPr>
          <w:p w14:paraId="26DF57CD" w14:textId="07137EE4" w:rsidR="0021569A" w:rsidRPr="00A128AD" w:rsidRDefault="00BD6F32" w:rsidP="000D7A56">
            <w:pPr>
              <w:cnfStyle w:val="000000000000" w:firstRow="0" w:lastRow="0" w:firstColumn="0" w:lastColumn="0" w:oddVBand="0" w:evenVBand="0" w:oddHBand="0" w:evenHBand="0" w:firstRowFirstColumn="0" w:firstRowLastColumn="0" w:lastRowFirstColumn="0" w:lastRowLastColumn="0"/>
            </w:pPr>
            <w:r>
              <w:t>5.2</w:t>
            </w:r>
          </w:p>
        </w:tc>
        <w:tc>
          <w:tcPr>
            <w:tcW w:w="1170" w:type="dxa"/>
          </w:tcPr>
          <w:p w14:paraId="61381987" w14:textId="4F8E1994" w:rsidR="0021569A" w:rsidRPr="00A128AD" w:rsidRDefault="00BD6F32" w:rsidP="000D7A56">
            <w:pPr>
              <w:cnfStyle w:val="000000000000" w:firstRow="0" w:lastRow="0" w:firstColumn="0" w:lastColumn="0" w:oddVBand="0" w:evenVBand="0" w:oddHBand="0" w:evenHBand="0" w:firstRowFirstColumn="0" w:firstRowLastColumn="0" w:lastRowFirstColumn="0" w:lastRowLastColumn="0"/>
            </w:pPr>
            <w:r>
              <w:t>4.9</w:t>
            </w:r>
          </w:p>
        </w:tc>
        <w:tc>
          <w:tcPr>
            <w:tcW w:w="1705" w:type="dxa"/>
          </w:tcPr>
          <w:p w14:paraId="403849E0" w14:textId="278E8FCC" w:rsidR="0021569A" w:rsidRPr="00A128AD" w:rsidRDefault="00BD6F32" w:rsidP="000D7A56">
            <w:pPr>
              <w:cnfStyle w:val="000000000000" w:firstRow="0" w:lastRow="0" w:firstColumn="0" w:lastColumn="0" w:oddVBand="0" w:evenVBand="0" w:oddHBand="0" w:evenHBand="0" w:firstRowFirstColumn="0" w:firstRowLastColumn="0" w:lastRowFirstColumn="0" w:lastRowLastColumn="0"/>
            </w:pPr>
            <w:r>
              <w:t>4.4</w:t>
            </w:r>
          </w:p>
        </w:tc>
      </w:tr>
      <w:tr w:rsidR="0021569A" w:rsidRPr="00A128AD" w14:paraId="291FF003" w14:textId="77777777" w:rsidTr="00EB6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04FB23EA" w14:textId="293EF0E2" w:rsidR="0021569A" w:rsidRDefault="0021569A" w:rsidP="000D7A56">
            <w:r>
              <w:t>Life Expectancy</w:t>
            </w:r>
          </w:p>
        </w:tc>
        <w:tc>
          <w:tcPr>
            <w:tcW w:w="1890" w:type="dxa"/>
          </w:tcPr>
          <w:p w14:paraId="319D8B5F" w14:textId="348956D8" w:rsidR="0021569A" w:rsidRPr="00A128AD" w:rsidRDefault="00BD6F32" w:rsidP="000D7A56">
            <w:pPr>
              <w:cnfStyle w:val="000000100000" w:firstRow="0" w:lastRow="0" w:firstColumn="0" w:lastColumn="0" w:oddVBand="0" w:evenVBand="0" w:oddHBand="1" w:evenHBand="0" w:firstRowFirstColumn="0" w:firstRowLastColumn="0" w:lastRowFirstColumn="0" w:lastRowLastColumn="0"/>
            </w:pPr>
            <w:r>
              <w:t>74.1</w:t>
            </w:r>
          </w:p>
        </w:tc>
        <w:tc>
          <w:tcPr>
            <w:tcW w:w="1170" w:type="dxa"/>
          </w:tcPr>
          <w:p w14:paraId="03F87A4E" w14:textId="665BF62F" w:rsidR="0021569A" w:rsidRPr="00A128AD" w:rsidRDefault="00BD6F32" w:rsidP="000D7A56">
            <w:pPr>
              <w:cnfStyle w:val="000000100000" w:firstRow="0" w:lastRow="0" w:firstColumn="0" w:lastColumn="0" w:oddVBand="0" w:evenVBand="0" w:oddHBand="1" w:evenHBand="0" w:firstRowFirstColumn="0" w:firstRowLastColumn="0" w:lastRowFirstColumn="0" w:lastRowLastColumn="0"/>
            </w:pPr>
            <w:r>
              <w:t>76.5</w:t>
            </w:r>
          </w:p>
        </w:tc>
        <w:tc>
          <w:tcPr>
            <w:tcW w:w="1705" w:type="dxa"/>
          </w:tcPr>
          <w:p w14:paraId="6E78BE0D" w14:textId="206A4C96" w:rsidR="0021569A" w:rsidRPr="00A128AD" w:rsidRDefault="00BD6F32" w:rsidP="000D7A56">
            <w:pPr>
              <w:cnfStyle w:val="000000100000" w:firstRow="0" w:lastRow="0" w:firstColumn="0" w:lastColumn="0" w:oddVBand="0" w:evenVBand="0" w:oddHBand="1" w:evenHBand="0" w:firstRowFirstColumn="0" w:firstRowLastColumn="0" w:lastRowFirstColumn="0" w:lastRowLastColumn="0"/>
            </w:pPr>
            <w:r>
              <w:t>78.5</w:t>
            </w:r>
          </w:p>
        </w:tc>
      </w:tr>
      <w:tr w:rsidR="0021569A" w:rsidRPr="00A128AD" w14:paraId="096081A6" w14:textId="77777777" w:rsidTr="00EB628C">
        <w:tc>
          <w:tcPr>
            <w:cnfStyle w:val="001000000000" w:firstRow="0" w:lastRow="0" w:firstColumn="1" w:lastColumn="0" w:oddVBand="0" w:evenVBand="0" w:oddHBand="0" w:evenHBand="0" w:firstRowFirstColumn="0" w:firstRowLastColumn="0" w:lastRowFirstColumn="0" w:lastRowLastColumn="0"/>
            <w:tcW w:w="4585" w:type="dxa"/>
          </w:tcPr>
          <w:p w14:paraId="4EF88CDF" w14:textId="6C29547B" w:rsidR="0021569A" w:rsidRDefault="00EE2CDE" w:rsidP="000D7A56">
            <w:r>
              <w:t>Mortality – Cancer</w:t>
            </w:r>
          </w:p>
        </w:tc>
        <w:tc>
          <w:tcPr>
            <w:tcW w:w="1890" w:type="dxa"/>
          </w:tcPr>
          <w:p w14:paraId="304115B0" w14:textId="31CCD14D" w:rsidR="0021569A" w:rsidRPr="00A128AD" w:rsidRDefault="00EE2CDE" w:rsidP="000D7A56">
            <w:pPr>
              <w:cnfStyle w:val="000000000000" w:firstRow="0" w:lastRow="0" w:firstColumn="0" w:lastColumn="0" w:oddVBand="0" w:evenVBand="0" w:oddHBand="0" w:evenHBand="0" w:firstRowFirstColumn="0" w:firstRowLastColumn="0" w:lastRowFirstColumn="0" w:lastRowLastColumn="0"/>
            </w:pPr>
            <w:r>
              <w:t>184.8</w:t>
            </w:r>
          </w:p>
        </w:tc>
        <w:tc>
          <w:tcPr>
            <w:tcW w:w="1170" w:type="dxa"/>
          </w:tcPr>
          <w:p w14:paraId="4BE9D023" w14:textId="0EFE79A5" w:rsidR="0021569A" w:rsidRPr="00A128AD" w:rsidRDefault="00EE2CDE" w:rsidP="000D7A56">
            <w:pPr>
              <w:cnfStyle w:val="000000000000" w:firstRow="0" w:lastRow="0" w:firstColumn="0" w:lastColumn="0" w:oddVBand="0" w:evenVBand="0" w:oddHBand="0" w:evenHBand="0" w:firstRowFirstColumn="0" w:firstRowLastColumn="0" w:lastRowFirstColumn="0" w:lastRowLastColumn="0"/>
            </w:pPr>
            <w:r>
              <w:t>166.8</w:t>
            </w:r>
          </w:p>
        </w:tc>
        <w:tc>
          <w:tcPr>
            <w:tcW w:w="1705" w:type="dxa"/>
          </w:tcPr>
          <w:p w14:paraId="63E2A854" w14:textId="122B54A3" w:rsidR="0021569A" w:rsidRPr="00A128AD" w:rsidRDefault="00EE2CDE" w:rsidP="000D7A56">
            <w:pPr>
              <w:cnfStyle w:val="000000000000" w:firstRow="0" w:lastRow="0" w:firstColumn="0" w:lastColumn="0" w:oddVBand="0" w:evenVBand="0" w:oddHBand="0" w:evenHBand="0" w:firstRowFirstColumn="0" w:firstRowLastColumn="0" w:lastRowFirstColumn="0" w:lastRowLastColumn="0"/>
            </w:pPr>
            <w:r>
              <w:t>149.4</w:t>
            </w:r>
          </w:p>
        </w:tc>
      </w:tr>
      <w:tr w:rsidR="00BD6F32" w:rsidRPr="00A128AD" w14:paraId="6CD18270" w14:textId="77777777" w:rsidTr="00EB6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132FCA3D" w14:textId="6F6BBCC1" w:rsidR="00BD6F32" w:rsidRDefault="00EE2CDE" w:rsidP="000D7A56">
            <w:r>
              <w:t>Mortality – Coronary Heart Disease</w:t>
            </w:r>
          </w:p>
        </w:tc>
        <w:tc>
          <w:tcPr>
            <w:tcW w:w="1890" w:type="dxa"/>
          </w:tcPr>
          <w:p w14:paraId="2B6E50CA" w14:textId="6BD11E5C" w:rsidR="00BD6F32" w:rsidRPr="00A128AD" w:rsidRDefault="00EE2CDE" w:rsidP="000D7A56">
            <w:pPr>
              <w:cnfStyle w:val="000000100000" w:firstRow="0" w:lastRow="0" w:firstColumn="0" w:lastColumn="0" w:oddVBand="0" w:evenVBand="0" w:oddHBand="1" w:evenHBand="0" w:firstRowFirstColumn="0" w:firstRowLastColumn="0" w:lastRowFirstColumn="0" w:lastRowLastColumn="0"/>
            </w:pPr>
            <w:r>
              <w:t>125.8</w:t>
            </w:r>
          </w:p>
        </w:tc>
        <w:tc>
          <w:tcPr>
            <w:tcW w:w="1170" w:type="dxa"/>
          </w:tcPr>
          <w:p w14:paraId="421E2BED" w14:textId="629E4DDD" w:rsidR="00BD6F32" w:rsidRPr="00A128AD" w:rsidRDefault="00EE2CDE" w:rsidP="000D7A56">
            <w:pPr>
              <w:cnfStyle w:val="000000100000" w:firstRow="0" w:lastRow="0" w:firstColumn="0" w:lastColumn="0" w:oddVBand="0" w:evenVBand="0" w:oddHBand="1" w:evenHBand="0" w:firstRowFirstColumn="0" w:firstRowLastColumn="0" w:lastRowFirstColumn="0" w:lastRowLastColumn="0"/>
            </w:pPr>
            <w:r>
              <w:t>98.1</w:t>
            </w:r>
          </w:p>
        </w:tc>
        <w:tc>
          <w:tcPr>
            <w:tcW w:w="1705" w:type="dxa"/>
          </w:tcPr>
          <w:p w14:paraId="1A87F512" w14:textId="167FA858" w:rsidR="00BD6F32" w:rsidRPr="00A128AD" w:rsidRDefault="00EE2CDE" w:rsidP="000D7A56">
            <w:pPr>
              <w:cnfStyle w:val="000000100000" w:firstRow="0" w:lastRow="0" w:firstColumn="0" w:lastColumn="0" w:oddVBand="0" w:evenVBand="0" w:oddHBand="1" w:evenHBand="0" w:firstRowFirstColumn="0" w:firstRowLastColumn="0" w:lastRowFirstColumn="0" w:lastRowLastColumn="0"/>
            </w:pPr>
            <w:r>
              <w:t>91.5</w:t>
            </w:r>
          </w:p>
        </w:tc>
      </w:tr>
      <w:tr w:rsidR="00EE2CDE" w:rsidRPr="00A128AD" w14:paraId="612739E2" w14:textId="77777777" w:rsidTr="00EB628C">
        <w:tc>
          <w:tcPr>
            <w:cnfStyle w:val="001000000000" w:firstRow="0" w:lastRow="0" w:firstColumn="1" w:lastColumn="0" w:oddVBand="0" w:evenVBand="0" w:oddHBand="0" w:evenHBand="0" w:firstRowFirstColumn="0" w:firstRowLastColumn="0" w:lastRowFirstColumn="0" w:lastRowLastColumn="0"/>
            <w:tcW w:w="4585" w:type="dxa"/>
          </w:tcPr>
          <w:p w14:paraId="7FD0BE80" w14:textId="1629AFD3" w:rsidR="00EE2CDE" w:rsidRDefault="00EE2CDE" w:rsidP="000D7A56">
            <w:r>
              <w:t>Mortality – Lung Disease</w:t>
            </w:r>
          </w:p>
        </w:tc>
        <w:tc>
          <w:tcPr>
            <w:tcW w:w="1890" w:type="dxa"/>
          </w:tcPr>
          <w:p w14:paraId="06291F80" w14:textId="7FE61CE4" w:rsidR="00EE2CDE" w:rsidRDefault="00EE2CDE" w:rsidP="000D7A56">
            <w:pPr>
              <w:cnfStyle w:val="000000000000" w:firstRow="0" w:lastRow="0" w:firstColumn="0" w:lastColumn="0" w:oddVBand="0" w:evenVBand="0" w:oddHBand="0" w:evenHBand="0" w:firstRowFirstColumn="0" w:firstRowLastColumn="0" w:lastRowFirstColumn="0" w:lastRowLastColumn="0"/>
            </w:pPr>
            <w:r>
              <w:t>65.8</w:t>
            </w:r>
          </w:p>
        </w:tc>
        <w:tc>
          <w:tcPr>
            <w:tcW w:w="1170" w:type="dxa"/>
          </w:tcPr>
          <w:p w14:paraId="72AA33A9" w14:textId="523AB8D3" w:rsidR="00EE2CDE" w:rsidRDefault="00EE2CDE" w:rsidP="000D7A56">
            <w:pPr>
              <w:cnfStyle w:val="000000000000" w:firstRow="0" w:lastRow="0" w:firstColumn="0" w:lastColumn="0" w:oddVBand="0" w:evenVBand="0" w:oddHBand="0" w:evenHBand="0" w:firstRowFirstColumn="0" w:firstRowLastColumn="0" w:lastRowFirstColumn="0" w:lastRowLastColumn="0"/>
            </w:pPr>
            <w:r>
              <w:t>55.3</w:t>
            </w:r>
          </w:p>
        </w:tc>
        <w:tc>
          <w:tcPr>
            <w:tcW w:w="1705" w:type="dxa"/>
          </w:tcPr>
          <w:p w14:paraId="068CC326" w14:textId="52C98A30" w:rsidR="00EE2CDE" w:rsidRDefault="00EE2CDE" w:rsidP="000D7A56">
            <w:pPr>
              <w:cnfStyle w:val="000000000000" w:firstRow="0" w:lastRow="0" w:firstColumn="0" w:lastColumn="0" w:oddVBand="0" w:evenVBand="0" w:oddHBand="0" w:evenHBand="0" w:firstRowFirstColumn="0" w:firstRowLastColumn="0" w:lastRowFirstColumn="0" w:lastRowLastColumn="0"/>
            </w:pPr>
            <w:r>
              <w:t>39.1</w:t>
            </w:r>
          </w:p>
        </w:tc>
      </w:tr>
      <w:tr w:rsidR="00EE2CDE" w:rsidRPr="00A128AD" w14:paraId="0D0D10DA" w14:textId="77777777" w:rsidTr="00EB6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48D6BB7B" w14:textId="26651E30" w:rsidR="00EE2CDE" w:rsidRDefault="00EE2CDE" w:rsidP="000D7A56">
            <w:r>
              <w:t>Mortality – Motor Vehicle Crash</w:t>
            </w:r>
          </w:p>
        </w:tc>
        <w:tc>
          <w:tcPr>
            <w:tcW w:w="1890" w:type="dxa"/>
          </w:tcPr>
          <w:p w14:paraId="70E32B9B" w14:textId="366ABFC6" w:rsidR="00EE2CDE" w:rsidRDefault="00EE2CDE" w:rsidP="000D7A56">
            <w:pPr>
              <w:cnfStyle w:val="000000100000" w:firstRow="0" w:lastRow="0" w:firstColumn="0" w:lastColumn="0" w:oddVBand="0" w:evenVBand="0" w:oddHBand="1" w:evenHBand="0" w:firstRowFirstColumn="0" w:firstRowLastColumn="0" w:lastRowFirstColumn="0" w:lastRowLastColumn="0"/>
            </w:pPr>
            <w:r>
              <w:t>19.4</w:t>
            </w:r>
          </w:p>
        </w:tc>
        <w:tc>
          <w:tcPr>
            <w:tcW w:w="1170" w:type="dxa"/>
          </w:tcPr>
          <w:p w14:paraId="560CD5EA" w14:textId="177FA3D0" w:rsidR="00EE2CDE" w:rsidRDefault="00EE2CDE" w:rsidP="000D7A56">
            <w:pPr>
              <w:cnfStyle w:val="000000100000" w:firstRow="0" w:lastRow="0" w:firstColumn="0" w:lastColumn="0" w:oddVBand="0" w:evenVBand="0" w:oddHBand="1" w:evenHBand="0" w:firstRowFirstColumn="0" w:firstRowLastColumn="0" w:lastRowFirstColumn="0" w:lastRowLastColumn="0"/>
            </w:pPr>
            <w:r>
              <w:t>12.6</w:t>
            </w:r>
          </w:p>
        </w:tc>
        <w:tc>
          <w:tcPr>
            <w:tcW w:w="1705" w:type="dxa"/>
          </w:tcPr>
          <w:p w14:paraId="45774E8B" w14:textId="0AE7851E" w:rsidR="00EE2CDE" w:rsidRDefault="00EE2CDE" w:rsidP="000D7A56">
            <w:pPr>
              <w:cnfStyle w:val="000000100000" w:firstRow="0" w:lastRow="0" w:firstColumn="0" w:lastColumn="0" w:oddVBand="0" w:evenVBand="0" w:oddHBand="1" w:evenHBand="0" w:firstRowFirstColumn="0" w:firstRowLastColumn="0" w:lastRowFirstColumn="0" w:lastRowLastColumn="0"/>
            </w:pPr>
            <w:r>
              <w:t>11.5</w:t>
            </w:r>
          </w:p>
        </w:tc>
      </w:tr>
      <w:tr w:rsidR="00EE2CDE" w:rsidRPr="00A128AD" w14:paraId="2D52E868" w14:textId="77777777" w:rsidTr="00EB628C">
        <w:tc>
          <w:tcPr>
            <w:cnfStyle w:val="001000000000" w:firstRow="0" w:lastRow="0" w:firstColumn="1" w:lastColumn="0" w:oddVBand="0" w:evenVBand="0" w:oddHBand="0" w:evenHBand="0" w:firstRowFirstColumn="0" w:firstRowLastColumn="0" w:lastRowFirstColumn="0" w:lastRowLastColumn="0"/>
            <w:tcW w:w="4585" w:type="dxa"/>
          </w:tcPr>
          <w:p w14:paraId="17638156" w14:textId="14ED8D5F" w:rsidR="00EE2CDE" w:rsidRDefault="00EE2CDE" w:rsidP="000D7A56">
            <w:r>
              <w:t>Mortality – Poisoning (Including Drug Overdose)</w:t>
            </w:r>
          </w:p>
        </w:tc>
        <w:tc>
          <w:tcPr>
            <w:tcW w:w="1890" w:type="dxa"/>
          </w:tcPr>
          <w:p w14:paraId="5F658F24" w14:textId="3B99B0D7" w:rsidR="00EE2CDE" w:rsidRDefault="00EE2CDE" w:rsidP="000D7A56">
            <w:pPr>
              <w:cnfStyle w:val="000000000000" w:firstRow="0" w:lastRow="0" w:firstColumn="0" w:lastColumn="0" w:oddVBand="0" w:evenVBand="0" w:oddHBand="0" w:evenHBand="0" w:firstRowFirstColumn="0" w:firstRowLastColumn="0" w:lastRowFirstColumn="0" w:lastRowLastColumn="0"/>
            </w:pPr>
            <w:r>
              <w:t>42.3</w:t>
            </w:r>
          </w:p>
        </w:tc>
        <w:tc>
          <w:tcPr>
            <w:tcW w:w="1170" w:type="dxa"/>
          </w:tcPr>
          <w:p w14:paraId="56313C2E" w14:textId="5B9AA730" w:rsidR="00EE2CDE" w:rsidRDefault="00EE2CDE" w:rsidP="000D7A56">
            <w:pPr>
              <w:cnfStyle w:val="000000000000" w:firstRow="0" w:lastRow="0" w:firstColumn="0" w:lastColumn="0" w:oddVBand="0" w:evenVBand="0" w:oddHBand="0" w:evenHBand="0" w:firstRowFirstColumn="0" w:firstRowLastColumn="0" w:lastRowFirstColumn="0" w:lastRowLastColumn="0"/>
            </w:pPr>
            <w:r>
              <w:t>30.5</w:t>
            </w:r>
          </w:p>
        </w:tc>
        <w:tc>
          <w:tcPr>
            <w:tcW w:w="1705" w:type="dxa"/>
          </w:tcPr>
          <w:p w14:paraId="39DEA453" w14:textId="078DD26B" w:rsidR="00EE2CDE" w:rsidRDefault="00EE2CDE" w:rsidP="000D7A56">
            <w:pPr>
              <w:cnfStyle w:val="000000000000" w:firstRow="0" w:lastRow="0" w:firstColumn="0" w:lastColumn="0" w:oddVBand="0" w:evenVBand="0" w:oddHBand="0" w:evenHBand="0" w:firstRowFirstColumn="0" w:firstRowLastColumn="0" w:lastRowFirstColumn="0" w:lastRowLastColumn="0"/>
            </w:pPr>
            <w:r>
              <w:t>24.0</w:t>
            </w:r>
          </w:p>
        </w:tc>
      </w:tr>
      <w:tr w:rsidR="00EE2CDE" w:rsidRPr="00A128AD" w14:paraId="1A06AA8D" w14:textId="77777777" w:rsidTr="00EB6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5" w:type="dxa"/>
          </w:tcPr>
          <w:p w14:paraId="1EC371BE" w14:textId="3B7510D1" w:rsidR="00EE2CDE" w:rsidRDefault="00EE2CDE" w:rsidP="000D7A56">
            <w:r>
              <w:t>Mortality – Unintentional Injury (Accident)</w:t>
            </w:r>
          </w:p>
        </w:tc>
        <w:tc>
          <w:tcPr>
            <w:tcW w:w="1890" w:type="dxa"/>
          </w:tcPr>
          <w:p w14:paraId="4AEF4B08" w14:textId="4BAC77C6" w:rsidR="00EE2CDE" w:rsidRDefault="00EE2CDE" w:rsidP="000D7A56">
            <w:pPr>
              <w:cnfStyle w:val="000000100000" w:firstRow="0" w:lastRow="0" w:firstColumn="0" w:lastColumn="0" w:oddVBand="0" w:evenVBand="0" w:oddHBand="1" w:evenHBand="0" w:firstRowFirstColumn="0" w:firstRowLastColumn="0" w:lastRowFirstColumn="0" w:lastRowLastColumn="0"/>
            </w:pPr>
            <w:r>
              <w:t>75.0</w:t>
            </w:r>
          </w:p>
        </w:tc>
        <w:tc>
          <w:tcPr>
            <w:tcW w:w="1170" w:type="dxa"/>
          </w:tcPr>
          <w:p w14:paraId="591E56E9" w14:textId="1F90E773" w:rsidR="00EE2CDE" w:rsidRDefault="00EE2CDE" w:rsidP="000D7A56">
            <w:pPr>
              <w:cnfStyle w:val="000000100000" w:firstRow="0" w:lastRow="0" w:firstColumn="0" w:lastColumn="0" w:oddVBand="0" w:evenVBand="0" w:oddHBand="1" w:evenHBand="0" w:firstRowFirstColumn="0" w:firstRowLastColumn="0" w:lastRowFirstColumn="0" w:lastRowLastColumn="0"/>
            </w:pPr>
            <w:r>
              <w:t>57.7</w:t>
            </w:r>
          </w:p>
        </w:tc>
        <w:tc>
          <w:tcPr>
            <w:tcW w:w="1705" w:type="dxa"/>
          </w:tcPr>
          <w:p w14:paraId="7BF8FCC9" w14:textId="5C84C500" w:rsidR="00EE2CDE" w:rsidRDefault="00EE2CDE" w:rsidP="000D7A56">
            <w:pPr>
              <w:cnfStyle w:val="000000100000" w:firstRow="0" w:lastRow="0" w:firstColumn="0" w:lastColumn="0" w:oddVBand="0" w:evenVBand="0" w:oddHBand="1" w:evenHBand="0" w:firstRowFirstColumn="0" w:firstRowLastColumn="0" w:lastRowFirstColumn="0" w:lastRowLastColumn="0"/>
            </w:pPr>
            <w:r>
              <w:t>50.4</w:t>
            </w:r>
          </w:p>
        </w:tc>
      </w:tr>
      <w:tr w:rsidR="00EE2CDE" w:rsidRPr="00A128AD" w14:paraId="1D44364D" w14:textId="77777777" w:rsidTr="00EB628C">
        <w:tc>
          <w:tcPr>
            <w:cnfStyle w:val="001000000000" w:firstRow="0" w:lastRow="0" w:firstColumn="1" w:lastColumn="0" w:oddVBand="0" w:evenVBand="0" w:oddHBand="0" w:evenHBand="0" w:firstRowFirstColumn="0" w:firstRowLastColumn="0" w:lastRowFirstColumn="0" w:lastRowLastColumn="0"/>
            <w:tcW w:w="4585" w:type="dxa"/>
          </w:tcPr>
          <w:p w14:paraId="31E75EF4" w14:textId="65A8CBB3" w:rsidR="00EE2CDE" w:rsidRDefault="00EE2CDE" w:rsidP="000D7A56">
            <w:r>
              <w:t>Obesity</w:t>
            </w:r>
          </w:p>
        </w:tc>
        <w:tc>
          <w:tcPr>
            <w:tcW w:w="1890" w:type="dxa"/>
          </w:tcPr>
          <w:p w14:paraId="1432967A" w14:textId="6C87B16E" w:rsidR="00EE2CDE" w:rsidRDefault="00EE2CDE" w:rsidP="000D7A56">
            <w:pPr>
              <w:cnfStyle w:val="000000000000" w:firstRow="0" w:lastRow="0" w:firstColumn="0" w:lastColumn="0" w:oddVBand="0" w:evenVBand="0" w:oddHBand="0" w:evenHBand="0" w:firstRowFirstColumn="0" w:firstRowLastColumn="0" w:lastRowFirstColumn="0" w:lastRowLastColumn="0"/>
            </w:pPr>
            <w:r>
              <w:t>33.0%</w:t>
            </w:r>
          </w:p>
        </w:tc>
        <w:tc>
          <w:tcPr>
            <w:tcW w:w="1170" w:type="dxa"/>
          </w:tcPr>
          <w:p w14:paraId="73C38602" w14:textId="3867A9AE" w:rsidR="00EE2CDE" w:rsidRDefault="00EE2CDE" w:rsidP="000D7A56">
            <w:pPr>
              <w:cnfStyle w:val="000000000000" w:firstRow="0" w:lastRow="0" w:firstColumn="0" w:lastColumn="0" w:oddVBand="0" w:evenVBand="0" w:oddHBand="0" w:evenHBand="0" w:firstRowFirstColumn="0" w:firstRowLastColumn="0" w:lastRowFirstColumn="0" w:lastRowLastColumn="0"/>
            </w:pPr>
            <w:r>
              <w:t>31.6%</w:t>
            </w:r>
          </w:p>
        </w:tc>
        <w:tc>
          <w:tcPr>
            <w:tcW w:w="1705" w:type="dxa"/>
          </w:tcPr>
          <w:p w14:paraId="2EF8E3B4" w14:textId="17B241AB" w:rsidR="00EE2CDE" w:rsidRDefault="00EE2CDE" w:rsidP="000D7A56">
            <w:pPr>
              <w:cnfStyle w:val="000000000000" w:firstRow="0" w:lastRow="0" w:firstColumn="0" w:lastColumn="0" w:oddVBand="0" w:evenVBand="0" w:oddHBand="0" w:evenHBand="0" w:firstRowFirstColumn="0" w:firstRowLastColumn="0" w:lastRowFirstColumn="0" w:lastRowLastColumn="0"/>
            </w:pPr>
            <w:r>
              <w:t>29.0%</w:t>
            </w:r>
          </w:p>
        </w:tc>
      </w:tr>
    </w:tbl>
    <w:p w14:paraId="5F1A1677" w14:textId="03E32CDB" w:rsidR="00D002DB" w:rsidRPr="00A0757F" w:rsidRDefault="00A0757F" w:rsidP="00FE4350">
      <w:pPr>
        <w:spacing w:before="240" w:after="240"/>
      </w:pPr>
      <w:r w:rsidRPr="00A0757F">
        <w:t>The significant causes of morbidity and mortality and health disparities outlined above provide a clearer picture of the gaps in services that 4C Health is helping to fill.</w:t>
      </w:r>
      <w:r w:rsidR="005F230F" w:rsidRPr="005F230F">
        <w:t xml:space="preserve"> </w:t>
      </w:r>
      <w:r w:rsidR="005F230F" w:rsidRPr="00EB628C">
        <w:t xml:space="preserve">The high rates of </w:t>
      </w:r>
      <w:r w:rsidR="00EE2CDE" w:rsidRPr="00EB628C">
        <w:t xml:space="preserve">premature death, cancer mortality, coronary heart disease, </w:t>
      </w:r>
      <w:r w:rsidR="00EB628C" w:rsidRPr="00EB628C">
        <w:t>lung disease, motor vehicle crash, drug overdose, accidents, and obesity.</w:t>
      </w:r>
      <w:r w:rsidR="005F230F" w:rsidRPr="00EB628C">
        <w:t xml:space="preserve"> It reveals populations high in mental distress, poverty, and health disparities. </w:t>
      </w:r>
      <w:r w:rsidR="005F230F" w:rsidRPr="005F230F">
        <w:t>These statistics paint a picture of a population in great need of the accessible, affordable, and high-quality health care that 4C Health provides.</w:t>
      </w:r>
    </w:p>
    <w:p w14:paraId="0F7571A7" w14:textId="145D6CF1" w:rsidR="00D002DB" w:rsidRPr="00D002DB" w:rsidRDefault="00D002DB" w:rsidP="000D7A56">
      <w:pPr>
        <w:spacing w:after="240"/>
        <w:rPr>
          <w:b/>
          <w:bCs/>
          <w:i/>
          <w:iCs/>
        </w:rPr>
      </w:pPr>
      <w:r>
        <w:rPr>
          <w:b/>
          <w:bCs/>
          <w:i/>
          <w:iCs/>
        </w:rPr>
        <w:t>Mental Health and Substance Use</w:t>
      </w:r>
    </w:p>
    <w:p w14:paraId="358FB4F1" w14:textId="1DFD0A00" w:rsidR="005B458C" w:rsidRDefault="005B458C" w:rsidP="000D7A56">
      <w:pPr>
        <w:spacing w:after="240"/>
      </w:pPr>
      <w:r>
        <w:t xml:space="preserve">When analyzing the need for behavioral health services specifically, Howard County </w:t>
      </w:r>
      <w:r w:rsidR="00167999">
        <w:t>has rates of child abuse and neglect, mentally unhealthy dates, death by suicide, and opioid poisoning deaths above the state rate</w:t>
      </w:r>
      <w:r>
        <w:t xml:space="preserve">. </w:t>
      </w:r>
    </w:p>
    <w:tbl>
      <w:tblPr>
        <w:tblStyle w:val="GridTable4-Accent6"/>
        <w:tblW w:w="0" w:type="auto"/>
        <w:tblLook w:val="04A0" w:firstRow="1" w:lastRow="0" w:firstColumn="1" w:lastColumn="0" w:noHBand="0" w:noVBand="1"/>
      </w:tblPr>
      <w:tblGrid>
        <w:gridCol w:w="6295"/>
        <w:gridCol w:w="2038"/>
        <w:gridCol w:w="1017"/>
      </w:tblGrid>
      <w:tr w:rsidR="00167999" w:rsidRPr="00F14567" w14:paraId="6537D698" w14:textId="77777777" w:rsidTr="00167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95" w:type="dxa"/>
          </w:tcPr>
          <w:p w14:paraId="2BF3F72D" w14:textId="6E396102" w:rsidR="00167999" w:rsidRPr="000D7A56" w:rsidRDefault="000D7A56" w:rsidP="000D7A56">
            <w:pPr>
              <w:rPr>
                <w:color w:val="auto"/>
              </w:rPr>
            </w:pPr>
            <w:r w:rsidRPr="000D7A56">
              <w:t>Mental Health and Substance Use</w:t>
            </w:r>
          </w:p>
        </w:tc>
        <w:tc>
          <w:tcPr>
            <w:tcW w:w="2038" w:type="dxa"/>
          </w:tcPr>
          <w:p w14:paraId="495E39B6" w14:textId="77777777" w:rsidR="00167999" w:rsidRPr="000D7A56" w:rsidRDefault="00167999" w:rsidP="000D7A56">
            <w:pPr>
              <w:cnfStyle w:val="100000000000" w:firstRow="1" w:lastRow="0" w:firstColumn="0" w:lastColumn="0" w:oddVBand="0" w:evenVBand="0" w:oddHBand="0" w:evenHBand="0" w:firstRowFirstColumn="0" w:firstRowLastColumn="0" w:lastRowFirstColumn="0" w:lastRowLastColumn="0"/>
            </w:pPr>
            <w:r w:rsidRPr="000D7A56">
              <w:t>Howard County</w:t>
            </w:r>
          </w:p>
        </w:tc>
        <w:tc>
          <w:tcPr>
            <w:tcW w:w="0" w:type="auto"/>
          </w:tcPr>
          <w:p w14:paraId="3ED8D615" w14:textId="77777777" w:rsidR="00167999" w:rsidRPr="000D7A56" w:rsidRDefault="00167999" w:rsidP="000D7A56">
            <w:pPr>
              <w:cnfStyle w:val="100000000000" w:firstRow="1" w:lastRow="0" w:firstColumn="0" w:lastColumn="0" w:oddVBand="0" w:evenVBand="0" w:oddHBand="0" w:evenHBand="0" w:firstRowFirstColumn="0" w:firstRowLastColumn="0" w:lastRowFirstColumn="0" w:lastRowLastColumn="0"/>
            </w:pPr>
            <w:r w:rsidRPr="000D7A56">
              <w:t>Indiana</w:t>
            </w:r>
          </w:p>
        </w:tc>
      </w:tr>
      <w:tr w:rsidR="00167999" w:rsidRPr="00F14567" w14:paraId="3AFBB461" w14:textId="77777777" w:rsidTr="00167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95" w:type="dxa"/>
          </w:tcPr>
          <w:p w14:paraId="09B5E17A" w14:textId="02FC2480" w:rsidR="00167999" w:rsidRPr="00F14567" w:rsidRDefault="00167999" w:rsidP="000D7A56">
            <w:r>
              <w:t>Ratio of Mental Health Providers</w:t>
            </w:r>
          </w:p>
        </w:tc>
        <w:tc>
          <w:tcPr>
            <w:tcW w:w="2038" w:type="dxa"/>
          </w:tcPr>
          <w:p w14:paraId="2197C370" w14:textId="7FDD23BA" w:rsidR="00167999" w:rsidRPr="00F14567" w:rsidRDefault="00167999" w:rsidP="000D7A56">
            <w:pPr>
              <w:cnfStyle w:val="000000100000" w:firstRow="0" w:lastRow="0" w:firstColumn="0" w:lastColumn="0" w:oddVBand="0" w:evenVBand="0" w:oddHBand="1" w:evenHBand="0" w:firstRowFirstColumn="0" w:firstRowLastColumn="0" w:lastRowFirstColumn="0" w:lastRowLastColumn="0"/>
            </w:pPr>
            <w:r>
              <w:t>460:1</w:t>
            </w:r>
          </w:p>
        </w:tc>
        <w:tc>
          <w:tcPr>
            <w:tcW w:w="0" w:type="auto"/>
          </w:tcPr>
          <w:p w14:paraId="5631696A" w14:textId="207E0A11" w:rsidR="00167999" w:rsidRPr="00F14567" w:rsidRDefault="00167999" w:rsidP="000D7A56">
            <w:pPr>
              <w:cnfStyle w:val="000000100000" w:firstRow="0" w:lastRow="0" w:firstColumn="0" w:lastColumn="0" w:oddVBand="0" w:evenVBand="0" w:oddHBand="1" w:evenHBand="0" w:firstRowFirstColumn="0" w:firstRowLastColumn="0" w:lastRowFirstColumn="0" w:lastRowLastColumn="0"/>
            </w:pPr>
            <w:r>
              <w:t>530:1</w:t>
            </w:r>
          </w:p>
        </w:tc>
      </w:tr>
      <w:tr w:rsidR="00167999" w:rsidRPr="00F14567" w14:paraId="08D873E3" w14:textId="77777777" w:rsidTr="00167999">
        <w:tc>
          <w:tcPr>
            <w:cnfStyle w:val="001000000000" w:firstRow="0" w:lastRow="0" w:firstColumn="1" w:lastColumn="0" w:oddVBand="0" w:evenVBand="0" w:oddHBand="0" w:evenHBand="0" w:firstRowFirstColumn="0" w:firstRowLastColumn="0" w:lastRowFirstColumn="0" w:lastRowLastColumn="0"/>
            <w:tcW w:w="6295" w:type="dxa"/>
          </w:tcPr>
          <w:p w14:paraId="6543B7A4" w14:textId="3000C2C2" w:rsidR="00167999" w:rsidRPr="00F14567" w:rsidRDefault="00167999" w:rsidP="000D7A56">
            <w:r>
              <w:t xml:space="preserve">Rate of </w:t>
            </w:r>
            <w:r w:rsidRPr="00167999">
              <w:t>Children Removed From Home Due to Parent Alcohol and/or Drug Abuse</w:t>
            </w:r>
          </w:p>
        </w:tc>
        <w:tc>
          <w:tcPr>
            <w:tcW w:w="2038" w:type="dxa"/>
          </w:tcPr>
          <w:p w14:paraId="71E8F693" w14:textId="7AB50CA5" w:rsidR="00167999" w:rsidRPr="00F14567" w:rsidRDefault="00167999" w:rsidP="000D7A56">
            <w:pPr>
              <w:cnfStyle w:val="000000000000" w:firstRow="0" w:lastRow="0" w:firstColumn="0" w:lastColumn="0" w:oddVBand="0" w:evenVBand="0" w:oddHBand="0" w:evenHBand="0" w:firstRowFirstColumn="0" w:firstRowLastColumn="0" w:lastRowFirstColumn="0" w:lastRowLastColumn="0"/>
            </w:pPr>
            <w:r>
              <w:t>0.5</w:t>
            </w:r>
          </w:p>
        </w:tc>
        <w:tc>
          <w:tcPr>
            <w:tcW w:w="0" w:type="auto"/>
          </w:tcPr>
          <w:p w14:paraId="11486A1B" w14:textId="6CA74DCD" w:rsidR="00167999" w:rsidRPr="00F14567" w:rsidRDefault="00167999" w:rsidP="000D7A56">
            <w:pPr>
              <w:cnfStyle w:val="000000000000" w:firstRow="0" w:lastRow="0" w:firstColumn="0" w:lastColumn="0" w:oddVBand="0" w:evenVBand="0" w:oddHBand="0" w:evenHBand="0" w:firstRowFirstColumn="0" w:firstRowLastColumn="0" w:lastRowFirstColumn="0" w:lastRowLastColumn="0"/>
            </w:pPr>
            <w:r>
              <w:t>0.5</w:t>
            </w:r>
          </w:p>
        </w:tc>
      </w:tr>
      <w:tr w:rsidR="00167999" w:rsidRPr="00F14567" w14:paraId="4F7F7F9B" w14:textId="77777777" w:rsidTr="00167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95" w:type="dxa"/>
          </w:tcPr>
          <w:p w14:paraId="72E285AE" w14:textId="51B97953" w:rsidR="00167999" w:rsidRPr="00F14567" w:rsidRDefault="00167999" w:rsidP="000D7A56">
            <w:r>
              <w:t xml:space="preserve">Rate of </w:t>
            </w:r>
            <w:r w:rsidRPr="00167999">
              <w:t>Child Abuse and Neglect</w:t>
            </w:r>
            <w:r>
              <w:t xml:space="preserve"> Victims</w:t>
            </w:r>
          </w:p>
        </w:tc>
        <w:tc>
          <w:tcPr>
            <w:tcW w:w="2038" w:type="dxa"/>
          </w:tcPr>
          <w:p w14:paraId="772F6995" w14:textId="618C64F0" w:rsidR="00167999" w:rsidRPr="00F14567" w:rsidRDefault="00167999" w:rsidP="000D7A56">
            <w:pPr>
              <w:cnfStyle w:val="000000100000" w:firstRow="0" w:lastRow="0" w:firstColumn="0" w:lastColumn="0" w:oddVBand="0" w:evenVBand="0" w:oddHBand="1" w:evenHBand="0" w:firstRowFirstColumn="0" w:firstRowLastColumn="0" w:lastRowFirstColumn="0" w:lastRowLastColumn="0"/>
            </w:pPr>
            <w:r>
              <w:t>12.5</w:t>
            </w:r>
          </w:p>
        </w:tc>
        <w:tc>
          <w:tcPr>
            <w:tcW w:w="0" w:type="auto"/>
          </w:tcPr>
          <w:p w14:paraId="70F25F41" w14:textId="79207486" w:rsidR="00167999" w:rsidRPr="00F14567" w:rsidRDefault="00167999" w:rsidP="000D7A56">
            <w:pPr>
              <w:cnfStyle w:val="000000100000" w:firstRow="0" w:lastRow="0" w:firstColumn="0" w:lastColumn="0" w:oddVBand="0" w:evenVBand="0" w:oddHBand="1" w:evenHBand="0" w:firstRowFirstColumn="0" w:firstRowLastColumn="0" w:lastRowFirstColumn="0" w:lastRowLastColumn="0"/>
            </w:pPr>
            <w:r>
              <w:t>12.0</w:t>
            </w:r>
          </w:p>
        </w:tc>
      </w:tr>
      <w:tr w:rsidR="00167999" w:rsidRPr="00F14567" w14:paraId="72F14E32" w14:textId="77777777" w:rsidTr="00167999">
        <w:tc>
          <w:tcPr>
            <w:cnfStyle w:val="001000000000" w:firstRow="0" w:lastRow="0" w:firstColumn="1" w:lastColumn="0" w:oddVBand="0" w:evenVBand="0" w:oddHBand="0" w:evenHBand="0" w:firstRowFirstColumn="0" w:firstRowLastColumn="0" w:lastRowFirstColumn="0" w:lastRowLastColumn="0"/>
            <w:tcW w:w="6295" w:type="dxa"/>
          </w:tcPr>
          <w:p w14:paraId="694F4575" w14:textId="68D02F72" w:rsidR="00167999" w:rsidRPr="00F14567" w:rsidRDefault="00167999" w:rsidP="000D7A56">
            <w:r>
              <w:t>Average Number of Mentally Unhealthy Days</w:t>
            </w:r>
          </w:p>
        </w:tc>
        <w:tc>
          <w:tcPr>
            <w:tcW w:w="2038" w:type="dxa"/>
          </w:tcPr>
          <w:p w14:paraId="212885C7" w14:textId="6A152F75" w:rsidR="00167999" w:rsidRPr="00F14567" w:rsidRDefault="00167999" w:rsidP="000D7A56">
            <w:pPr>
              <w:cnfStyle w:val="000000000000" w:firstRow="0" w:lastRow="0" w:firstColumn="0" w:lastColumn="0" w:oddVBand="0" w:evenVBand="0" w:oddHBand="0" w:evenHBand="0" w:firstRowFirstColumn="0" w:firstRowLastColumn="0" w:lastRowFirstColumn="0" w:lastRowLastColumn="0"/>
            </w:pPr>
            <w:r>
              <w:t>5.2</w:t>
            </w:r>
          </w:p>
        </w:tc>
        <w:tc>
          <w:tcPr>
            <w:tcW w:w="0" w:type="auto"/>
          </w:tcPr>
          <w:p w14:paraId="2AA0E8D4" w14:textId="299AECAD" w:rsidR="00167999" w:rsidRPr="00F14567" w:rsidRDefault="00167999" w:rsidP="000D7A56">
            <w:pPr>
              <w:cnfStyle w:val="000000000000" w:firstRow="0" w:lastRow="0" w:firstColumn="0" w:lastColumn="0" w:oddVBand="0" w:evenVBand="0" w:oddHBand="0" w:evenHBand="0" w:firstRowFirstColumn="0" w:firstRowLastColumn="0" w:lastRowFirstColumn="0" w:lastRowLastColumn="0"/>
            </w:pPr>
            <w:r>
              <w:t>4.9</w:t>
            </w:r>
          </w:p>
        </w:tc>
      </w:tr>
      <w:tr w:rsidR="00167999" w:rsidRPr="00F14567" w14:paraId="2538600D" w14:textId="77777777" w:rsidTr="0016799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95" w:type="dxa"/>
          </w:tcPr>
          <w:p w14:paraId="2E51D677" w14:textId="5BDF948B" w:rsidR="00167999" w:rsidRPr="00F14567" w:rsidRDefault="00167999" w:rsidP="000D7A56">
            <w:r>
              <w:t>Age-Adjusted Rate of Death by Suicide</w:t>
            </w:r>
          </w:p>
        </w:tc>
        <w:tc>
          <w:tcPr>
            <w:tcW w:w="2038" w:type="dxa"/>
          </w:tcPr>
          <w:p w14:paraId="149D6847" w14:textId="00465B8B" w:rsidR="00167999" w:rsidRPr="00F14567" w:rsidRDefault="00167999" w:rsidP="000D7A56">
            <w:pPr>
              <w:cnfStyle w:val="000000100000" w:firstRow="0" w:lastRow="0" w:firstColumn="0" w:lastColumn="0" w:oddVBand="0" w:evenVBand="0" w:oddHBand="1" w:evenHBand="0" w:firstRowFirstColumn="0" w:firstRowLastColumn="0" w:lastRowFirstColumn="0" w:lastRowLastColumn="0"/>
            </w:pPr>
            <w:r>
              <w:t>23.0</w:t>
            </w:r>
          </w:p>
        </w:tc>
        <w:tc>
          <w:tcPr>
            <w:tcW w:w="0" w:type="auto"/>
          </w:tcPr>
          <w:p w14:paraId="75B6257C" w14:textId="04860B1D" w:rsidR="00167999" w:rsidRPr="00F14567" w:rsidRDefault="00167999" w:rsidP="000D7A56">
            <w:pPr>
              <w:cnfStyle w:val="000000100000" w:firstRow="0" w:lastRow="0" w:firstColumn="0" w:lastColumn="0" w:oddVBand="0" w:evenVBand="0" w:oddHBand="1" w:evenHBand="0" w:firstRowFirstColumn="0" w:firstRowLastColumn="0" w:lastRowFirstColumn="0" w:lastRowLastColumn="0"/>
            </w:pPr>
            <w:r>
              <w:t>14.9</w:t>
            </w:r>
          </w:p>
        </w:tc>
      </w:tr>
      <w:tr w:rsidR="00167999" w:rsidRPr="00F14567" w14:paraId="229751E4" w14:textId="77777777" w:rsidTr="00167999">
        <w:tc>
          <w:tcPr>
            <w:cnfStyle w:val="001000000000" w:firstRow="0" w:lastRow="0" w:firstColumn="1" w:lastColumn="0" w:oddVBand="0" w:evenVBand="0" w:oddHBand="0" w:evenHBand="0" w:firstRowFirstColumn="0" w:firstRowLastColumn="0" w:lastRowFirstColumn="0" w:lastRowLastColumn="0"/>
            <w:tcW w:w="6295" w:type="dxa"/>
          </w:tcPr>
          <w:p w14:paraId="5944A5F6" w14:textId="433FEC5D" w:rsidR="00167999" w:rsidRDefault="00167999" w:rsidP="000D7A56">
            <w:r>
              <w:t>Rate of Opioid Poisoning Deaths</w:t>
            </w:r>
          </w:p>
        </w:tc>
        <w:tc>
          <w:tcPr>
            <w:tcW w:w="2038" w:type="dxa"/>
          </w:tcPr>
          <w:p w14:paraId="399FA43C" w14:textId="5DDE3426" w:rsidR="00167999" w:rsidRDefault="00167999" w:rsidP="000D7A56">
            <w:pPr>
              <w:cnfStyle w:val="000000000000" w:firstRow="0" w:lastRow="0" w:firstColumn="0" w:lastColumn="0" w:oddVBand="0" w:evenVBand="0" w:oddHBand="0" w:evenHBand="0" w:firstRowFirstColumn="0" w:firstRowLastColumn="0" w:lastRowFirstColumn="0" w:lastRowLastColumn="0"/>
            </w:pPr>
            <w:r>
              <w:t>34.8</w:t>
            </w:r>
          </w:p>
        </w:tc>
        <w:tc>
          <w:tcPr>
            <w:tcW w:w="0" w:type="auto"/>
          </w:tcPr>
          <w:p w14:paraId="3C6C71C8" w14:textId="5081827C" w:rsidR="00167999" w:rsidRDefault="00167999" w:rsidP="000D7A56">
            <w:pPr>
              <w:cnfStyle w:val="000000000000" w:firstRow="0" w:lastRow="0" w:firstColumn="0" w:lastColumn="0" w:oddVBand="0" w:evenVBand="0" w:oddHBand="0" w:evenHBand="0" w:firstRowFirstColumn="0" w:firstRowLastColumn="0" w:lastRowFirstColumn="0" w:lastRowLastColumn="0"/>
            </w:pPr>
            <w:r>
              <w:t>27.8</w:t>
            </w:r>
          </w:p>
        </w:tc>
      </w:tr>
    </w:tbl>
    <w:p w14:paraId="2F85F5F9" w14:textId="1E002362" w:rsidR="004462A3" w:rsidRDefault="00F14567" w:rsidP="00FE4350">
      <w:pPr>
        <w:spacing w:before="240" w:after="240"/>
      </w:pPr>
      <w:r>
        <w:t xml:space="preserve">According to the National Alliance on Mental Illness, </w:t>
      </w:r>
      <w:r w:rsidRPr="00F14567">
        <w:t>4,426,818 people in Indiana live in a community that does not have enough mental health professionals</w:t>
      </w:r>
      <w:r>
        <w:t xml:space="preserve">. More than 90,000 Hoosiers </w:t>
      </w:r>
      <w:r w:rsidR="00167999">
        <w:t>aged</w:t>
      </w:r>
      <w:r>
        <w:t xml:space="preserve"> 12-17 have depression and 54% did not receive any care in the past year.</w:t>
      </w:r>
      <w:r w:rsidR="00884520">
        <w:rPr>
          <w:rStyle w:val="FootnoteReference"/>
        </w:rPr>
        <w:footnoteReference w:id="1"/>
      </w:r>
      <w:r>
        <w:t xml:space="preserve"> </w:t>
      </w:r>
      <w:r w:rsidR="00E50F02">
        <w:t xml:space="preserve">4C Health offers a myriad of support to patients, including integrated care delivery </w:t>
      </w:r>
      <w:r w:rsidR="00E50F02" w:rsidRPr="00E50F02">
        <w:t>through specialty partnerships that allow patients to receive mental health and substance use services at their primary care office and primary care services at their 4C Health location</w:t>
      </w:r>
      <w:r w:rsidR="00E50F02">
        <w:t xml:space="preserve"> and school-based services in 42 school corporations, addressing the dire need for mental health support in Indiana.</w:t>
      </w:r>
    </w:p>
    <w:p w14:paraId="135D844D" w14:textId="013CF6E9" w:rsidR="004462A3" w:rsidRPr="000D7A56" w:rsidRDefault="004462A3" w:rsidP="000D7A56">
      <w:pPr>
        <w:spacing w:after="240"/>
        <w:rPr>
          <w:b/>
          <w:bCs/>
          <w:i/>
          <w:iCs/>
        </w:rPr>
      </w:pPr>
      <w:r>
        <w:rPr>
          <w:b/>
          <w:bCs/>
          <w:i/>
          <w:iCs/>
        </w:rPr>
        <w:t>Existing Health Services</w:t>
      </w:r>
    </w:p>
    <w:p w14:paraId="61E33366" w14:textId="307135B3" w:rsidR="00D002DB" w:rsidRDefault="00EB628C" w:rsidP="000D7A56">
      <w:pPr>
        <w:spacing w:after="240"/>
      </w:pPr>
      <w:r>
        <w:t>Various other health services exist within Howard County, including:</w:t>
      </w:r>
    </w:p>
    <w:p w14:paraId="00465BD0" w14:textId="20E1637E" w:rsidR="00EB628C" w:rsidRDefault="00EB628C" w:rsidP="00EB628C">
      <w:pPr>
        <w:pStyle w:val="ListParagraph"/>
        <w:numPr>
          <w:ilvl w:val="0"/>
          <w:numId w:val="3"/>
        </w:numPr>
        <w:spacing w:after="240"/>
      </w:pPr>
      <w:r w:rsidRPr="00EB628C">
        <w:rPr>
          <w:u w:val="single"/>
        </w:rPr>
        <w:t>FQHC Health Centers:</w:t>
      </w:r>
      <w:r>
        <w:t xml:space="preserve"> IHC Howard County WIC, IHC at Kokomo, Meridian Health Services Corp</w:t>
      </w:r>
    </w:p>
    <w:p w14:paraId="667A8420" w14:textId="30603F9D" w:rsidR="00EB628C" w:rsidRDefault="00EB628C" w:rsidP="00EB628C">
      <w:pPr>
        <w:pStyle w:val="ListParagraph"/>
        <w:numPr>
          <w:ilvl w:val="0"/>
          <w:numId w:val="3"/>
        </w:numPr>
        <w:spacing w:after="240"/>
      </w:pPr>
      <w:r w:rsidRPr="00EB628C">
        <w:rPr>
          <w:u w:val="single"/>
        </w:rPr>
        <w:t>Hospitals</w:t>
      </w:r>
      <w:r>
        <w:t>: Community Howard Regional Health, Ascension St. Vincent Kokomo</w:t>
      </w:r>
    </w:p>
    <w:p w14:paraId="60DCED78" w14:textId="537EFE3C" w:rsidR="00EB628C" w:rsidRDefault="00EB628C" w:rsidP="00EB628C">
      <w:pPr>
        <w:pStyle w:val="ListParagraph"/>
        <w:numPr>
          <w:ilvl w:val="0"/>
          <w:numId w:val="3"/>
        </w:numPr>
        <w:spacing w:after="240"/>
      </w:pPr>
      <w:r>
        <w:rPr>
          <w:u w:val="single"/>
        </w:rPr>
        <w:t>Substance Use Treatment and Mental Health Facilities:</w:t>
      </w:r>
      <w:r>
        <w:t xml:space="preserve"> Community Howard Regional Health, Gilead House, Lucina Treatment Center, Groups Recover Together, St. Vincent Kokomo</w:t>
      </w:r>
      <w:r>
        <w:rPr>
          <w:u w:val="single"/>
        </w:rPr>
        <w:t xml:space="preserve"> </w:t>
      </w:r>
    </w:p>
    <w:p w14:paraId="15738E88" w14:textId="4FD030FB" w:rsidR="004462A3" w:rsidRPr="000D7A56" w:rsidRDefault="00EB628C" w:rsidP="000D7A56">
      <w:pPr>
        <w:spacing w:after="240"/>
      </w:pPr>
      <w:r>
        <w:t>4C Health is one of the three</w:t>
      </w:r>
      <w:r w:rsidRPr="00EB628C">
        <w:t xml:space="preserve"> </w:t>
      </w:r>
      <w:r w:rsidRPr="004462A3">
        <w:t>certified Community Mental Health Centers</w:t>
      </w:r>
      <w:r>
        <w:t xml:space="preserve"> in addition to </w:t>
      </w:r>
      <w:r w:rsidR="004462A3" w:rsidRPr="004462A3">
        <w:t>Community Howard</w:t>
      </w:r>
      <w:r>
        <w:t xml:space="preserve"> </w:t>
      </w:r>
      <w:r w:rsidR="004462A3" w:rsidRPr="004462A3">
        <w:t>and Meridian Health Services</w:t>
      </w:r>
      <w:r>
        <w:t>.</w:t>
      </w:r>
      <w:r w:rsidR="004462A3" w:rsidRPr="004462A3">
        <w:t xml:space="preserve"> However, there is still a great need for services as suicide and overdose deaths have increased over previous years, the current workforce is aging, and the population of Howard County is growing.</w:t>
      </w:r>
    </w:p>
    <w:p w14:paraId="08388C5F" w14:textId="445DA314" w:rsidR="005B458C" w:rsidRPr="00D002DB" w:rsidRDefault="004462A3" w:rsidP="000D7A56">
      <w:pPr>
        <w:spacing w:after="240"/>
        <w:rPr>
          <w:b/>
          <w:bCs/>
          <w:i/>
          <w:iCs/>
        </w:rPr>
      </w:pPr>
      <w:r>
        <w:rPr>
          <w:b/>
          <w:bCs/>
          <w:i/>
          <w:iCs/>
        </w:rPr>
        <w:t>Need For Health Services</w:t>
      </w:r>
    </w:p>
    <w:p w14:paraId="51CA4BC9" w14:textId="77777777" w:rsidR="00150BF8" w:rsidRDefault="004462A3" w:rsidP="000D7A56">
      <w:pPr>
        <w:spacing w:after="240"/>
      </w:pPr>
      <w:r>
        <w:t xml:space="preserve">Despite the current health services in Howard County, there is still a pressing need, as identified by the community. </w:t>
      </w:r>
      <w:r w:rsidR="00150BF8" w:rsidRPr="00150BF8">
        <w:t xml:space="preserve">Community surveys, other local healthcare organization’s CHNAS, and focus group meetings indicated a high level of concern and need surrounding behavioral healthcare and substance use disorder and the need for more behavioral health care services and substance use disorder services. The Indiana Behavioral Health Commission released a final report in September 2022 examining Indiana’s behavioral healthcare system and outlining recommendations to improve the system. The Commission found that Indiana’s Behavioral Health System infrastructure is grossly underfunded and in need of reforms to improve and enhance behavioral healthcare. </w:t>
      </w:r>
    </w:p>
    <w:p w14:paraId="77C59778" w14:textId="58CA37DC" w:rsidR="00E50F02" w:rsidRDefault="005B458C" w:rsidP="000D7A56">
      <w:pPr>
        <w:spacing w:after="240"/>
      </w:pPr>
      <w:r>
        <w:t xml:space="preserve">Recent Community Health Needs Assessments (CHNA) from both </w:t>
      </w:r>
      <w:r w:rsidR="004954D2">
        <w:t>hospitals in Howard County (</w:t>
      </w:r>
      <w:r>
        <w:t xml:space="preserve">Ascension St. Vincent Kokomo and </w:t>
      </w:r>
      <w:r w:rsidR="00E50F02">
        <w:t>Community Health Network – Howard Region</w:t>
      </w:r>
      <w:r w:rsidR="004954D2">
        <w:t>)</w:t>
      </w:r>
      <w:r>
        <w:t xml:space="preserve"> </w:t>
      </w:r>
      <w:r w:rsidR="00E50F02">
        <w:t>highlights</w:t>
      </w:r>
      <w:r>
        <w:t xml:space="preserve"> the importance of behavioral health services in Howard County.</w:t>
      </w:r>
    </w:p>
    <w:p w14:paraId="3147E7F7" w14:textId="0FD14015" w:rsidR="00086CF6" w:rsidRDefault="00E50F02" w:rsidP="000D7A56">
      <w:pPr>
        <w:pStyle w:val="ListParagraph"/>
        <w:numPr>
          <w:ilvl w:val="0"/>
          <w:numId w:val="2"/>
        </w:numPr>
        <w:spacing w:after="240"/>
      </w:pPr>
      <w:r w:rsidRPr="00E50F02">
        <w:t>Ascension St. Vincent Kokomo</w:t>
      </w:r>
      <w:r>
        <w:t xml:space="preserve"> selected mental health as a prioritized need for the FY2023-2025 Implementation Strategy based on mental health indicators, including mentally unhealthy days, number of mental health providers per population, depression rate and/or suicide rate compared to peer counties or US averages.</w:t>
      </w:r>
      <w:r>
        <w:rPr>
          <w:rStyle w:val="FootnoteReference"/>
        </w:rPr>
        <w:footnoteReference w:id="2"/>
      </w:r>
      <w:r>
        <w:t xml:space="preserve"> Community meeting participants also identified mental health as a priority. </w:t>
      </w:r>
    </w:p>
    <w:p w14:paraId="7774A24C" w14:textId="3480632D" w:rsidR="00F823A2" w:rsidRDefault="00E50F02" w:rsidP="000D7A56">
      <w:pPr>
        <w:pStyle w:val="ListParagraph"/>
        <w:numPr>
          <w:ilvl w:val="0"/>
          <w:numId w:val="2"/>
        </w:numPr>
        <w:spacing w:after="240"/>
      </w:pPr>
      <w:r>
        <w:t xml:space="preserve">Community Health Network – Howard Region </w:t>
      </w:r>
      <w:r w:rsidR="00F823A2">
        <w:t>identified mental health status and access to mental health services and substance use disorder and overdoses as significant community health needs based on data, community health assessments, and input from community stakeholders.</w:t>
      </w:r>
      <w:r w:rsidR="00F823A2" w:rsidRPr="00F823A2">
        <w:t xml:space="preserve"> </w:t>
      </w:r>
      <w:r w:rsidR="00F823A2">
        <w:t>Conversations with participants highlighted the worsening state of mental health due to the COVID-19 pandemic and interviewees expressed challenges in accessing mental healthcare due to shortage of providers, barriers related to health insurance and cost, and the aging health workforce. Both drug deaths and alcohol-related mortality in Howard County exceed the Indiana rate. Community stakeholders identified substance abuse as a significant need, citing self-medication for untreated mental health conditions and misuse of both opioids and alcohol.</w:t>
      </w:r>
    </w:p>
    <w:p w14:paraId="75437DCB" w14:textId="28751B13" w:rsidR="008A6A55" w:rsidRDefault="008A6A55" w:rsidP="000D7A56">
      <w:pPr>
        <w:spacing w:after="240"/>
      </w:pPr>
      <w:r>
        <w:t xml:space="preserve">Additionally, the COVID-19 pandemic has exacerbated the behavioral health and SUD crisis. </w:t>
      </w:r>
      <w:r w:rsidR="000D7A56" w:rsidRPr="000D7A56">
        <w:t xml:space="preserve">Behavioral health greatly impacts physical health and integration is necessary to ensure that primary care and behavioral health is coordinated to achieve optimal health status for patients. Those with untreated behavioral health and SUD may not seek primary health care due to their conditions, stigma or even fear. 4C Health understands the importance of integration and is continually looking for ways to better meet the behavioral and SUD needs of patients in the service area to improve overall health status. </w:t>
      </w:r>
    </w:p>
    <w:p w14:paraId="74825CC3" w14:textId="7CB2FD69" w:rsidR="00E50F02" w:rsidRDefault="00D002DB" w:rsidP="000D7A56">
      <w:pPr>
        <w:spacing w:after="240"/>
        <w:rPr>
          <w:b/>
          <w:bCs/>
          <w:i/>
          <w:iCs/>
        </w:rPr>
      </w:pPr>
      <w:r>
        <w:rPr>
          <w:b/>
          <w:bCs/>
          <w:i/>
          <w:iCs/>
        </w:rPr>
        <w:t>Summary</w:t>
      </w:r>
    </w:p>
    <w:p w14:paraId="06BEB05C" w14:textId="3BECD168" w:rsidR="00D002DB" w:rsidRPr="00D002DB" w:rsidRDefault="00D002DB" w:rsidP="000D7A56">
      <w:pPr>
        <w:spacing w:after="240"/>
      </w:pPr>
      <w:r>
        <w:t xml:space="preserve">Despite existing health services in the area, there is a pressing need to address the health factors and outcomes, coupled with an aging demographic, in Howard County, Indiana. </w:t>
      </w:r>
      <w:r w:rsidR="00EB628C">
        <w:t xml:space="preserve">Plagued by alarming rates of chronic health conditions and mental health issues leading to premature death and a life expectancy lower than neighboring counties, Howard County is in dire need for </w:t>
      </w:r>
      <w:r w:rsidR="00A80CE6" w:rsidRPr="00A80CE6">
        <w:t>comprehensive healthcare reform and increased access to quality medical services</w:t>
      </w:r>
      <w:r w:rsidR="00EB628C">
        <w:t xml:space="preserve">. </w:t>
      </w:r>
      <w:r>
        <w:t xml:space="preserve">4C </w:t>
      </w:r>
      <w:r w:rsidR="00EB628C">
        <w:t xml:space="preserve">Health </w:t>
      </w:r>
      <w:r>
        <w:t xml:space="preserve">is well positioned to address the specific needs of the community and provide crucial mental health and substance use services to the population of more than </w:t>
      </w:r>
      <w:r w:rsidR="00EB628C">
        <w:t>83,000</w:t>
      </w:r>
      <w:r>
        <w:t xml:space="preserve"> people. </w:t>
      </w:r>
      <w:r w:rsidR="002A2A2F">
        <w:t>Community feedback noted the</w:t>
      </w:r>
      <w:r w:rsidR="00EB628C">
        <w:t xml:space="preserve"> critical</w:t>
      </w:r>
      <w:r w:rsidR="002A2A2F">
        <w:t xml:space="preserve"> need for </w:t>
      </w:r>
      <w:r w:rsidR="00EB628C">
        <w:t>expanded access to mental health and substance use services</w:t>
      </w:r>
      <w:r w:rsidR="002A2A2F">
        <w:t xml:space="preserve"> in two community hospital CHNAs, further driving the point that there is a need and demand for services in the community. </w:t>
      </w:r>
    </w:p>
    <w:sectPr w:rsidR="00D002DB" w:rsidRPr="00D002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572A9" w14:textId="77777777" w:rsidR="006970EB" w:rsidRDefault="006970EB" w:rsidP="00E50F02">
      <w:pPr>
        <w:spacing w:line="240" w:lineRule="auto"/>
      </w:pPr>
      <w:r>
        <w:separator/>
      </w:r>
    </w:p>
  </w:endnote>
  <w:endnote w:type="continuationSeparator" w:id="0">
    <w:p w14:paraId="3ADA4B2C" w14:textId="77777777" w:rsidR="006970EB" w:rsidRDefault="006970EB" w:rsidP="00E50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2FC4D" w14:textId="77777777" w:rsidR="006970EB" w:rsidRDefault="006970EB" w:rsidP="00E50F02">
      <w:pPr>
        <w:spacing w:line="240" w:lineRule="auto"/>
      </w:pPr>
      <w:r>
        <w:separator/>
      </w:r>
    </w:p>
  </w:footnote>
  <w:footnote w:type="continuationSeparator" w:id="0">
    <w:p w14:paraId="1DCE485D" w14:textId="77777777" w:rsidR="006970EB" w:rsidRDefault="006970EB" w:rsidP="00E50F02">
      <w:pPr>
        <w:spacing w:line="240" w:lineRule="auto"/>
      </w:pPr>
      <w:r>
        <w:continuationSeparator/>
      </w:r>
    </w:p>
  </w:footnote>
  <w:footnote w:id="1">
    <w:p w14:paraId="567B80CC" w14:textId="4244B1E4" w:rsidR="00884520" w:rsidRDefault="00884520">
      <w:pPr>
        <w:pStyle w:val="FootnoteText"/>
      </w:pPr>
      <w:r>
        <w:rPr>
          <w:rStyle w:val="FootnoteReference"/>
        </w:rPr>
        <w:footnoteRef/>
      </w:r>
      <w:r>
        <w:t xml:space="preserve"> </w:t>
      </w:r>
      <w:r w:rsidRPr="00884520">
        <w:rPr>
          <w:sz w:val="20"/>
          <w:szCs w:val="16"/>
        </w:rPr>
        <w:t xml:space="preserve">National Alliance on Mental Illness, Indiana State Fact Sheet – February 2021 </w:t>
      </w:r>
    </w:p>
  </w:footnote>
  <w:footnote w:id="2">
    <w:p w14:paraId="492D367A" w14:textId="2F25C9FA" w:rsidR="00E50F02" w:rsidRDefault="00E50F02">
      <w:pPr>
        <w:pStyle w:val="FootnoteText"/>
      </w:pPr>
      <w:r>
        <w:rPr>
          <w:rStyle w:val="FootnoteReference"/>
        </w:rPr>
        <w:footnoteRef/>
      </w:r>
      <w:r>
        <w:t xml:space="preserve"> </w:t>
      </w:r>
      <w:r w:rsidRPr="00E50F02">
        <w:rPr>
          <w:sz w:val="20"/>
          <w:szCs w:val="16"/>
        </w:rPr>
        <w:t>FY 2023-2025 Ascension St. Vincent Kokomo Implementation Strategy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55849"/>
    <w:multiLevelType w:val="hybridMultilevel"/>
    <w:tmpl w:val="07AEF244"/>
    <w:lvl w:ilvl="0" w:tplc="40F8E920">
      <w:start w:val="27"/>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2840E7"/>
    <w:multiLevelType w:val="hybridMultilevel"/>
    <w:tmpl w:val="6D469F4A"/>
    <w:lvl w:ilvl="0" w:tplc="FF6EC43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DA5C3C"/>
    <w:multiLevelType w:val="hybridMultilevel"/>
    <w:tmpl w:val="0C9297B4"/>
    <w:lvl w:ilvl="0" w:tplc="545E0898">
      <w:start w:val="12"/>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7170468">
    <w:abstractNumId w:val="1"/>
  </w:num>
  <w:num w:numId="2" w16cid:durableId="1827477552">
    <w:abstractNumId w:val="0"/>
  </w:num>
  <w:num w:numId="3" w16cid:durableId="11985469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F6"/>
    <w:rsid w:val="000330ED"/>
    <w:rsid w:val="00052741"/>
    <w:rsid w:val="00052DB5"/>
    <w:rsid w:val="00064890"/>
    <w:rsid w:val="00086CF6"/>
    <w:rsid w:val="000A7BBC"/>
    <w:rsid w:val="000C646F"/>
    <w:rsid w:val="000D7A56"/>
    <w:rsid w:val="00150BF8"/>
    <w:rsid w:val="00162038"/>
    <w:rsid w:val="00167999"/>
    <w:rsid w:val="0021569A"/>
    <w:rsid w:val="00235D1C"/>
    <w:rsid w:val="0026145B"/>
    <w:rsid w:val="00283D2B"/>
    <w:rsid w:val="002A2A2F"/>
    <w:rsid w:val="00302133"/>
    <w:rsid w:val="003159CB"/>
    <w:rsid w:val="00361BB1"/>
    <w:rsid w:val="0038792F"/>
    <w:rsid w:val="00387F34"/>
    <w:rsid w:val="003B25F4"/>
    <w:rsid w:val="00421FB3"/>
    <w:rsid w:val="004462A3"/>
    <w:rsid w:val="004954D2"/>
    <w:rsid w:val="005040C8"/>
    <w:rsid w:val="00561DD5"/>
    <w:rsid w:val="005851EC"/>
    <w:rsid w:val="005B458C"/>
    <w:rsid w:val="005F230F"/>
    <w:rsid w:val="005F453D"/>
    <w:rsid w:val="0066677D"/>
    <w:rsid w:val="00675416"/>
    <w:rsid w:val="006970EB"/>
    <w:rsid w:val="006B3961"/>
    <w:rsid w:val="006B7A99"/>
    <w:rsid w:val="00731212"/>
    <w:rsid w:val="00753761"/>
    <w:rsid w:val="007761DF"/>
    <w:rsid w:val="00780E9A"/>
    <w:rsid w:val="007E6898"/>
    <w:rsid w:val="008147F8"/>
    <w:rsid w:val="00883DC3"/>
    <w:rsid w:val="00884520"/>
    <w:rsid w:val="008A6A55"/>
    <w:rsid w:val="008F5577"/>
    <w:rsid w:val="00906087"/>
    <w:rsid w:val="009D4281"/>
    <w:rsid w:val="00A0757F"/>
    <w:rsid w:val="00A128AD"/>
    <w:rsid w:val="00A710C1"/>
    <w:rsid w:val="00A80CE6"/>
    <w:rsid w:val="00A82021"/>
    <w:rsid w:val="00AA677B"/>
    <w:rsid w:val="00B7268F"/>
    <w:rsid w:val="00BD6F32"/>
    <w:rsid w:val="00C70DE4"/>
    <w:rsid w:val="00CA30CF"/>
    <w:rsid w:val="00CA76E6"/>
    <w:rsid w:val="00CD6139"/>
    <w:rsid w:val="00CF4483"/>
    <w:rsid w:val="00D002DB"/>
    <w:rsid w:val="00E50F02"/>
    <w:rsid w:val="00E625CE"/>
    <w:rsid w:val="00EB628C"/>
    <w:rsid w:val="00EC3A80"/>
    <w:rsid w:val="00EE2CDE"/>
    <w:rsid w:val="00F1396C"/>
    <w:rsid w:val="00F14567"/>
    <w:rsid w:val="00F712F7"/>
    <w:rsid w:val="00F823A2"/>
    <w:rsid w:val="00F86496"/>
    <w:rsid w:val="00F930D2"/>
    <w:rsid w:val="00FC4D51"/>
    <w:rsid w:val="00FD25C9"/>
    <w:rsid w:val="00FD408E"/>
    <w:rsid w:val="00FE43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9CE09"/>
  <w15:chartTrackingRefBased/>
  <w15:docId w15:val="{3EFB2875-05F0-4476-B3B5-6BE6C3037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Arial"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6E6"/>
    <w:pPr>
      <w:spacing w:after="0" w:line="276" w:lineRule="auto"/>
    </w:pPr>
    <w:rPr>
      <w:rFonts w:ascii="Times New Roman" w:hAnsi="Times New Roman" w:cs="Arial"/>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0A7BBC"/>
    <w:pPr>
      <w:framePr w:w="7920" w:h="1980" w:hRule="exact" w:hSpace="180" w:wrap="auto" w:hAnchor="page" w:xAlign="center" w:yAlign="bottom"/>
      <w:spacing w:line="240" w:lineRule="auto"/>
      <w:ind w:left="2880"/>
    </w:pPr>
    <w:rPr>
      <w:rFonts w:eastAsiaTheme="majorEastAsia" w:cstheme="majorBidi"/>
      <w:szCs w:val="24"/>
    </w:rPr>
  </w:style>
  <w:style w:type="paragraph" w:styleId="FootnoteText">
    <w:name w:val="footnote text"/>
    <w:basedOn w:val="Normal"/>
    <w:link w:val="FootnoteTextChar"/>
    <w:uiPriority w:val="99"/>
    <w:semiHidden/>
    <w:unhideWhenUsed/>
    <w:rsid w:val="003B25F4"/>
    <w:pPr>
      <w:spacing w:line="240" w:lineRule="auto"/>
    </w:pPr>
    <w:rPr>
      <w:szCs w:val="20"/>
    </w:rPr>
  </w:style>
  <w:style w:type="character" w:customStyle="1" w:styleId="FootnoteTextChar">
    <w:name w:val="Footnote Text Char"/>
    <w:basedOn w:val="DefaultParagraphFont"/>
    <w:link w:val="FootnoteText"/>
    <w:uiPriority w:val="99"/>
    <w:semiHidden/>
    <w:rsid w:val="003B25F4"/>
    <w:rPr>
      <w:rFonts w:ascii="Times New Roman" w:hAnsi="Times New Roman"/>
      <w:sz w:val="16"/>
      <w:szCs w:val="20"/>
    </w:rPr>
  </w:style>
  <w:style w:type="character" w:styleId="FootnoteReference">
    <w:name w:val="footnote reference"/>
    <w:basedOn w:val="DefaultParagraphFont"/>
    <w:uiPriority w:val="99"/>
    <w:unhideWhenUsed/>
    <w:rsid w:val="00FC4D51"/>
    <w:rPr>
      <w:rFonts w:ascii="Times New Roman" w:hAnsi="Times New Roman"/>
      <w:sz w:val="16"/>
      <w:vertAlign w:val="superscript"/>
    </w:rPr>
  </w:style>
  <w:style w:type="paragraph" w:styleId="ListParagraph">
    <w:name w:val="List Paragraph"/>
    <w:basedOn w:val="Normal"/>
    <w:uiPriority w:val="34"/>
    <w:qFormat/>
    <w:rsid w:val="00387F34"/>
    <w:pPr>
      <w:ind w:left="720"/>
      <w:contextualSpacing/>
    </w:pPr>
  </w:style>
  <w:style w:type="table" w:styleId="TableGrid">
    <w:name w:val="Table Grid"/>
    <w:basedOn w:val="TableNormal"/>
    <w:uiPriority w:val="39"/>
    <w:rsid w:val="0038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6">
    <w:name w:val="Grid Table 4 Accent 6"/>
    <w:basedOn w:val="TableNormal"/>
    <w:uiPriority w:val="49"/>
    <w:rsid w:val="00B7268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61885">
      <w:bodyDiv w:val="1"/>
      <w:marLeft w:val="0"/>
      <w:marRight w:val="0"/>
      <w:marTop w:val="0"/>
      <w:marBottom w:val="0"/>
      <w:divBdr>
        <w:top w:val="none" w:sz="0" w:space="0" w:color="auto"/>
        <w:left w:val="none" w:sz="0" w:space="0" w:color="auto"/>
        <w:bottom w:val="none" w:sz="0" w:space="0" w:color="auto"/>
        <w:right w:val="none" w:sz="0" w:space="0" w:color="auto"/>
      </w:divBdr>
    </w:div>
    <w:div w:id="987048690">
      <w:bodyDiv w:val="1"/>
      <w:marLeft w:val="0"/>
      <w:marRight w:val="0"/>
      <w:marTop w:val="0"/>
      <w:marBottom w:val="0"/>
      <w:divBdr>
        <w:top w:val="none" w:sz="0" w:space="0" w:color="auto"/>
        <w:left w:val="none" w:sz="0" w:space="0" w:color="auto"/>
        <w:bottom w:val="none" w:sz="0" w:space="0" w:color="auto"/>
        <w:right w:val="none" w:sz="0" w:space="0" w:color="auto"/>
      </w:divBdr>
    </w:div>
    <w:div w:id="1375158832">
      <w:bodyDiv w:val="1"/>
      <w:marLeft w:val="0"/>
      <w:marRight w:val="0"/>
      <w:marTop w:val="0"/>
      <w:marBottom w:val="0"/>
      <w:divBdr>
        <w:top w:val="none" w:sz="0" w:space="0" w:color="auto"/>
        <w:left w:val="none" w:sz="0" w:space="0" w:color="auto"/>
        <w:bottom w:val="none" w:sz="0" w:space="0" w:color="auto"/>
        <w:right w:val="none" w:sz="0" w:space="0" w:color="auto"/>
      </w:divBdr>
    </w:div>
    <w:div w:id="1898083935">
      <w:bodyDiv w:val="1"/>
      <w:marLeft w:val="0"/>
      <w:marRight w:val="0"/>
      <w:marTop w:val="0"/>
      <w:marBottom w:val="0"/>
      <w:divBdr>
        <w:top w:val="none" w:sz="0" w:space="0" w:color="auto"/>
        <w:left w:val="none" w:sz="0" w:space="0" w:color="auto"/>
        <w:bottom w:val="none" w:sz="0" w:space="0" w:color="auto"/>
        <w:right w:val="none" w:sz="0" w:space="0" w:color="auto"/>
      </w:divBdr>
    </w:div>
    <w:div w:id="204663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ABEE9-E483-4154-AFAC-9BEBB30A9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2104</Words>
  <Characters>11999</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DeBlock</dc:creator>
  <cp:keywords/>
  <dc:description/>
  <cp:lastModifiedBy>Dr. Carrie Cadwell, PsyD, HSPP</cp:lastModifiedBy>
  <cp:revision>2</cp:revision>
  <dcterms:created xsi:type="dcterms:W3CDTF">2023-11-08T13:41:00Z</dcterms:created>
  <dcterms:modified xsi:type="dcterms:W3CDTF">2023-11-08T13:41:00Z</dcterms:modified>
</cp:coreProperties>
</file>